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 </w:t>
      </w:r>
      <w:r/>
    </w:p>
    <w:p>
      <w:pPr>
        <w:pStyle w:val="1012"/>
        <w:ind w:firstLine="0"/>
        <w:jc w:val="center"/>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公开招标采购文件</w:t>
      </w:r>
      <w:r/>
    </w:p>
    <w:p>
      <w:pPr>
        <w:pStyle w:val="1012"/>
        <w:ind w:firstLine="0"/>
        <w:rPr>
          <w:rFonts w:hint="eastAsia" w:asciiTheme="minorEastAsia" w:hAnsiTheme="minorEastAsia" w:eastAsiaTheme="minorEastAsia" w:cstheme="minorEastAsia"/>
          <w:b/>
          <w:bCs/>
          <w:sz w:val="32"/>
        </w:rPr>
        <w:outlineLvl w:val="0"/>
      </w:pPr>
      <w:r/>
      <w:bookmarkStart w:id="0" w:name="_Toc20483"/>
      <w:r/>
      <w:r/>
    </w:p>
    <w:p>
      <w:pPr>
        <w:pStyle w:val="1012"/>
        <w:ind w:firstLine="0"/>
        <w:rPr>
          <w:rFonts w:hint="eastAsia" w:asciiTheme="minorEastAsia" w:hAnsiTheme="minorEastAsia" w:eastAsiaTheme="minorEastAsia" w:cstheme="minorEastAsia"/>
          <w:b/>
          <w:bCs/>
          <w:sz w:val="32"/>
        </w:rPr>
        <w:outlineLvl w:val="0"/>
      </w:pPr>
      <w:r>
        <w:rPr>
          <w:rFonts w:hint="eastAsia" w:asciiTheme="minorEastAsia" w:hAnsiTheme="minorEastAsia" w:eastAsiaTheme="minorEastAsia" w:cstheme="minorEastAsia"/>
          <w:b/>
          <w:bCs/>
          <w:sz w:val="32"/>
        </w:rPr>
      </w:r>
      <w:r/>
    </w:p>
    <w:p>
      <w:pPr>
        <w:pStyle w:val="1012"/>
        <w:ind w:firstLine="0"/>
        <w:rPr>
          <w:rFonts w:hint="eastAsia" w:asciiTheme="minorEastAsia" w:hAnsiTheme="minorEastAsia" w:cstheme="minorEastAsia"/>
          <w:b/>
          <w:bCs/>
          <w:sz w:val="32"/>
        </w:rPr>
        <w:outlineLvl w:val="0"/>
      </w:pPr>
      <w:r>
        <w:rPr>
          <w:rFonts w:hint="eastAsia" w:asciiTheme="minorEastAsia" w:hAnsiTheme="minorEastAsia" w:eastAsiaTheme="minorEastAsia" w:cstheme="minorEastAsia"/>
          <w:b/>
          <w:bCs/>
          <w:sz w:val="32"/>
        </w:rPr>
        <w:t xml:space="preserve">项目名称：</w:t>
      </w:r>
      <w:bookmarkEnd w:id="0"/>
      <w:r>
        <w:rPr>
          <w:rFonts w:hint="eastAsia"/>
          <w:b/>
          <w:bCs/>
          <w:sz w:val="32"/>
        </w:rPr>
        <w:t xml:space="preserve">常州旅游商贸高等职业技术学校二期校园网络设备及安装</w:t>
      </w:r>
      <w:r/>
    </w:p>
    <w:p>
      <w:pPr>
        <w:rPr>
          <w:rFonts w:hint="eastAsia" w:asciiTheme="minorEastAsia" w:hAnsiTheme="minorEastAsia" w:eastAsiaTheme="minorEastAsia" w:cstheme="minorEastAsia"/>
          <w:b/>
          <w:bCs/>
          <w:sz w:val="32"/>
          <w:szCs w:val="30"/>
        </w:rPr>
      </w:pPr>
      <w:r>
        <w:rPr>
          <w:rFonts w:hint="eastAsia" w:asciiTheme="minorEastAsia" w:hAnsiTheme="minorEastAsia" w:eastAsiaTheme="minorEastAsia" w:cstheme="minorEastAsia"/>
          <w:b/>
          <w:bCs/>
          <w:sz w:val="32"/>
        </w:rPr>
        <w:t xml:space="preserve">项目编号：JSZC-320400-JZCG-G2026-0</w:t>
      </w:r>
      <w:r>
        <w:rPr>
          <w:rFonts w:hint="eastAsia" w:asciiTheme="minorEastAsia" w:hAnsiTheme="minorEastAsia" w:eastAsiaTheme="minorEastAsia" w:cstheme="minorEastAsia"/>
          <w:b/>
          <w:bCs/>
          <w:sz w:val="32"/>
          <w:lang w:val="en-US" w:eastAsia="zh-CN"/>
        </w:rPr>
        <w:t xml:space="preserve">178</w:t>
      </w:r>
      <w:r>
        <w:rPr>
          <w:rFonts w:hint="eastAsia" w:asciiTheme="minorEastAsia" w:hAnsiTheme="minorEastAsia" w:eastAsiaTheme="minorEastAsia" w:cstheme="minorEastAsia"/>
          <w:b/>
          <w:bCs/>
          <w:sz w:val="32"/>
        </w:rPr>
        <w:tab/>
      </w:r>
      <w:r/>
    </w:p>
    <w:p>
      <w:pPr>
        <w:ind w:left="2100"/>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center"/>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（全流程电子化-货物类项目，适用苏采云系统，不专门面向中小企业）</w:t>
      </w:r>
      <w:r/>
    </w:p>
    <w:p>
      <w:pPr>
        <w:pStyle w:val="1012"/>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2"/>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2"/>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2"/>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2"/>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2"/>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2"/>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常州市教育基本建设与装备管理中心</w:t>
      </w:r>
      <w:r/>
    </w:p>
    <w:p>
      <w:pPr>
        <w:pStyle w:val="1012"/>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2026年</w:t>
      </w:r>
      <w:r>
        <w:rPr>
          <w:rFonts w:hint="eastAsia" w:asciiTheme="minorEastAsia" w:hAnsiTheme="minorEastAsia" w:eastAsiaTheme="minorEastAsia" w:cstheme="minorEastAsia"/>
          <w:b/>
          <w:bCs/>
          <w:sz w:val="32"/>
          <w:lang w:val="en-US" w:eastAsia="zh-CN"/>
        </w:rPr>
        <w:t xml:space="preserve">6</w:t>
      </w:r>
      <w:r>
        <w:rPr>
          <w:rFonts w:hint="eastAsia" w:asciiTheme="minorEastAsia" w:hAnsiTheme="minorEastAsia" w:eastAsiaTheme="minorEastAsia" w:cstheme="minorEastAsia"/>
          <w:b/>
          <w:bCs/>
          <w:sz w:val="32"/>
        </w:rPr>
        <w:t xml:space="preserve">月</w:t>
      </w:r>
      <w:r/>
    </w:p>
    <w:p>
      <w:pPr>
        <w:pStyle w:val="1012"/>
        <w:ind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rPr>
        <w:t xml:space="preserve">                        </w:t>
      </w:r>
      <w:r/>
    </w:p>
    <w:p>
      <w:pPr>
        <w:pStyle w:val="1012"/>
        <w:ind w:firstLine="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u w:val="single"/>
        </w:rPr>
      </w:r>
      <w:r>
        <w:rPr>
          <w:rFonts w:hint="eastAsia" w:asciiTheme="minorEastAsia" w:hAnsiTheme="minorEastAsia" w:eastAsiaTheme="minorEastAsia" w:cstheme="minorEastAsia"/>
          <w:u w:val="single"/>
        </w:rPr>
      </w:r>
    </w:p>
    <w:p>
      <w:pPr>
        <w:pStyle w:val="1012"/>
        <w:ind w:firstLine="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highlight w:val="none"/>
        </w:rPr>
      </w:r>
      <w:r>
        <w:rPr>
          <w:rFonts w:hint="eastAsia" w:asciiTheme="minorEastAsia" w:hAnsiTheme="minorEastAsia" w:eastAsiaTheme="minorEastAsia" w:cstheme="minorEastAsia"/>
          <w:highlight w:val="none"/>
        </w:rPr>
      </w:r>
    </w:p>
    <w:p>
      <w:pPr>
        <w:jc w:val="center"/>
        <w:spacing w:line="480" w:lineRule="auto"/>
        <w:rPr>
          <w:rFonts w:hint="eastAsia" w:asciiTheme="minorEastAsia" w:hAnsiTheme="minorEastAsia" w:eastAsiaTheme="minorEastAsia" w:cstheme="minorEastAsia"/>
          <w:b/>
          <w:sz w:val="44"/>
        </w:rPr>
        <w:outlineLvl w:val="0"/>
      </w:pPr>
      <w:r/>
      <w:bookmarkStart w:id="1" w:name="_Toc120614210"/>
      <w:r/>
      <w:bookmarkStart w:id="2" w:name="_Toc513029200"/>
      <w:r/>
      <w:bookmarkStart w:id="3" w:name="_Toc20823272"/>
      <w:r/>
      <w:bookmarkStart w:id="4" w:name="_Toc16938516"/>
      <w:r/>
      <w:bookmarkStart w:id="5" w:name="_Toc479757206"/>
      <w:r/>
      <w:bookmarkStart w:id="6" w:name="_Toc523127445"/>
      <w:r>
        <w:rPr>
          <w:rFonts w:hint="eastAsia" w:asciiTheme="minorEastAsia" w:hAnsiTheme="minorEastAsia" w:eastAsiaTheme="minorEastAsia" w:cstheme="minorEastAsia"/>
        </w:rPr>
        <w:t xml:space="preserve"> </w:t>
      </w:r>
      <w:bookmarkStart w:id="7" w:name="_Toc6626"/>
      <w:r>
        <w:rPr>
          <w:rFonts w:hint="eastAsia" w:asciiTheme="minorEastAsia" w:hAnsiTheme="minorEastAsia" w:eastAsiaTheme="minorEastAsia" w:cstheme="minorEastAsia"/>
          <w:b/>
          <w:sz w:val="44"/>
        </w:rPr>
        <w:t xml:space="preserve">总  目  录</w:t>
      </w:r>
      <w:bookmarkEnd w:id="7"/>
      <w:r/>
      <w:r/>
    </w:p>
    <w:p>
      <w:pPr>
        <w:pStyle w:val="1041"/>
        <w:spacing w:line="360" w:lineRule="auto"/>
        <w:tabs>
          <w:tab w:val="right" w:pos="8306"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TOC \o "1-1" \h \u </w:instrText>
      </w:r>
      <w:r>
        <w:rPr>
          <w:rFonts w:hint="eastAsia" w:asciiTheme="minorEastAsia" w:hAnsiTheme="minorEastAsia" w:eastAsiaTheme="minorEastAsia" w:cstheme="minorEastAsia"/>
        </w:rPr>
        <w:fldChar w:fldCharType="separate"/>
      </w:r>
      <w:r/>
    </w:p>
    <w:p>
      <w:pPr>
        <w:pStyle w:val="1041"/>
        <w:spacing w:line="360" w:lineRule="auto"/>
        <w:tabs>
          <w:tab w:val="right" w:pos="8306"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41"/>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"_Toc12340" </w:instrText>
      </w:r>
      <w:r>
        <w:fldChar w:fldCharType="separate"/>
      </w:r>
      <w:r>
        <w:rPr>
          <w:rFonts w:hint="eastAsia" w:asciiTheme="minorEastAsia" w:hAnsiTheme="minorEastAsia" w:eastAsiaTheme="minorEastAsia" w:cstheme="minorEastAsia"/>
          <w:sz w:val="36"/>
          <w:szCs w:val="36"/>
        </w:rPr>
        <w:t xml:space="preserve">第一章  投标邀请</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_Toc12340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3</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041"/>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"_Toc6429" </w:instrText>
      </w:r>
      <w:r>
        <w:fldChar w:fldCharType="separate"/>
      </w:r>
      <w:r>
        <w:rPr>
          <w:rFonts w:hint="eastAsia" w:asciiTheme="minorEastAsia" w:hAnsiTheme="minorEastAsia" w:eastAsiaTheme="minorEastAsia" w:cstheme="minorEastAsia"/>
          <w:sz w:val="36"/>
          <w:szCs w:val="36"/>
        </w:rPr>
        <w:t xml:space="preserve">第二章  投标人须知</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_Toc6429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6</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041"/>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"_Toc6505" </w:instrText>
      </w:r>
      <w:r>
        <w:fldChar w:fldCharType="separate"/>
      </w:r>
      <w:r>
        <w:rPr>
          <w:rFonts w:hint="eastAsia" w:asciiTheme="minorEastAsia" w:hAnsiTheme="minorEastAsia" w:eastAsiaTheme="minorEastAsia" w:cstheme="minorEastAsia"/>
          <w:bCs/>
          <w:sz w:val="36"/>
          <w:szCs w:val="36"/>
        </w:rPr>
        <w:t xml:space="preserve">第三章  合同文本</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_Toc6505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23</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041"/>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"_Toc17950" </w:instrText>
      </w:r>
      <w:r>
        <w:fldChar w:fldCharType="separate"/>
      </w:r>
      <w:r>
        <w:rPr>
          <w:rFonts w:hint="eastAsia" w:asciiTheme="minorEastAsia" w:hAnsiTheme="minorEastAsia" w:eastAsiaTheme="minorEastAsia" w:cstheme="minorEastAsia"/>
          <w:bCs/>
          <w:sz w:val="36"/>
          <w:szCs w:val="36"/>
        </w:rPr>
        <w:t xml:space="preserve">第四章  采购需求</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39</w:t>
      </w:r>
      <w:r/>
    </w:p>
    <w:p>
      <w:pPr>
        <w:pStyle w:val="1041"/>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"_Toc7880" </w:instrText>
      </w:r>
      <w:r>
        <w:fldChar w:fldCharType="separate"/>
      </w:r>
      <w:r>
        <w:rPr>
          <w:rFonts w:hint="eastAsia" w:asciiTheme="minorEastAsia" w:hAnsiTheme="minorEastAsia" w:eastAsiaTheme="minorEastAsia" w:cstheme="minorEastAsia"/>
          <w:bCs/>
          <w:sz w:val="36"/>
          <w:szCs w:val="36"/>
        </w:rPr>
        <w:t xml:space="preserve">第五章  评标方法与评标标准</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49</w:t>
      </w:r>
      <w:r/>
    </w:p>
    <w:p>
      <w:pPr>
        <w:pStyle w:val="1041"/>
        <w:spacing w:line="360" w:lineRule="auto"/>
        <w:tabs>
          <w:tab w:val="right" w:pos="8306" w:leader="dot"/>
        </w:tabs>
        <w:rPr>
          <w:rFonts w:hint="eastAsia" w:asciiTheme="minorEastAsia" w:hAnsiTheme="minorEastAsia" w:eastAsiaTheme="minorEastAsia" w:cstheme="minorEastAsia"/>
        </w:rPr>
      </w:pPr>
      <w:r>
        <w:fldChar w:fldCharType="begin"/>
      </w:r>
      <w:r>
        <w:instrText xml:space="preserve"> HYPERLINK \l "_Toc3874" </w:instrText>
      </w:r>
      <w:r>
        <w:fldChar w:fldCharType="separate"/>
      </w:r>
      <w:r>
        <w:rPr>
          <w:rFonts w:hint="eastAsia" w:asciiTheme="minorEastAsia" w:hAnsiTheme="minorEastAsia" w:eastAsiaTheme="minorEastAsia" w:cstheme="minorEastAsia"/>
          <w:bCs/>
          <w:sz w:val="36"/>
          <w:szCs w:val="36"/>
        </w:rPr>
        <w:t xml:space="preserve">第六章  投标文件格式</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53</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end"/>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rPr>
          <w:rFonts w:hint="eastAsia" w:asciiTheme="minorEastAsia" w:hAnsiTheme="minorEastAsia" w:eastAsiaTheme="minorEastAsia" w:cstheme="minorEastAsia"/>
        </w:rP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rPr>
          <w:rFonts w:hint="eastAsia" w:asciiTheme="minorEastAsia" w:hAnsiTheme="minorEastAsia" w:eastAsiaTheme="minorEastAsia" w:cstheme="minorEastAsia"/>
        </w:rP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rPr>
          <w:rFonts w:hint="eastAsia" w:asciiTheme="minorEastAsia" w:hAnsiTheme="minorEastAsia" w:eastAsiaTheme="minorEastAsia" w:cstheme="minorEastAsia"/>
        </w:rP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27"/>
        <w:rPr>
          <w:rFonts w:hint="eastAsia" w:asciiTheme="minorEastAsia" w:hAnsiTheme="minorEastAsia" w:eastAsiaTheme="minorEastAsia" w:cstheme="minorEastAsia"/>
          <w:bCs/>
          <w:sz w:val="44"/>
          <w:szCs w:val="44"/>
        </w:rPr>
      </w:pPr>
      <w:r/>
      <w:bookmarkStart w:id="8" w:name="_Toc12340"/>
      <w:r>
        <w:rPr>
          <w:rFonts w:hint="eastAsia" w:asciiTheme="minorEastAsia" w:hAnsiTheme="minorEastAsia" w:eastAsiaTheme="minorEastAsia" w:cstheme="minorEastAsia"/>
          <w:sz w:val="44"/>
          <w:szCs w:val="44"/>
        </w:rPr>
        <w:t xml:space="preserve">第一章  </w:t>
      </w:r>
      <w:bookmarkEnd w:id="1"/>
      <w:r>
        <w:rPr>
          <w:rFonts w:hint="eastAsia" w:asciiTheme="minorEastAsia" w:hAnsiTheme="minorEastAsia" w:eastAsiaTheme="minorEastAsia" w:cstheme="minorEastAsia"/>
          <w:sz w:val="44"/>
          <w:szCs w:val="44"/>
        </w:rPr>
        <w:t xml:space="preserve">投标邀请</w:t>
      </w:r>
      <w:bookmarkEnd w:id="8"/>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宋体" w:hAnsi="宋体"/>
          <w:sz w:val="24"/>
          <w:szCs w:val="24"/>
        </w:rPr>
        <w:t xml:space="preserve">受［常州旅游商贸高等职业技术学校］的委托，常州市教育基本建设与装备管理中心（采购代理机构）就［常州旅游商贸高等职业技术学校二期校园网络设备及安装］(项目编号：JSZC-320400-JZCG-G2026-0178</w:t>
      </w:r>
      <w:r>
        <w:rPr>
          <w:rFonts w:hint="eastAsia" w:ascii="宋体" w:hAnsi="宋体"/>
          <w:sz w:val="24"/>
          <w:szCs w:val="24"/>
        </w:rPr>
        <w:tab/>
      </w:r>
      <w:r>
        <w:rPr>
          <w:rFonts w:hint="eastAsia" w:ascii="宋体" w:hAnsi="宋体"/>
          <w:sz w:val="24"/>
          <w:szCs w:val="24"/>
        </w:rPr>
        <w:t xml:space="preserve">)项目进行公开招标采购，欢迎符合条件的供应商投标</w:t>
      </w:r>
      <w:r>
        <w:rPr>
          <w:rFonts w:hint="eastAsia" w:asciiTheme="minorEastAsia" w:hAnsiTheme="minorEastAsia" w:eastAsiaTheme="minorEastAsia" w:cstheme="minorEastAsia"/>
          <w:sz w:val="24"/>
          <w:szCs w:val="24"/>
        </w:rPr>
        <w:t xml:space="preserve">。</w:t>
      </w:r>
      <w:r/>
    </w:p>
    <w:p>
      <w:pPr>
        <w:ind w:firstLine="480"/>
        <w:spacing w:line="360" w:lineRule="auto"/>
        <w:rPr>
          <w:rFonts w:hint="eastAsia" w:asciiTheme="minorEastAsia" w:hAnsiTheme="minorEastAsia" w:eastAsiaTheme="minorEastAsia" w:cs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rPr>
        <w:t xml:space="preserve">项目概况</w:t>
      </w:r>
      <w:r/>
    </w:p>
    <w:p>
      <w:pPr>
        <w:ind w:firstLine="480"/>
        <w:spacing w:line="360" w:lineRule="auto"/>
        <w:rPr>
          <w:rFonts w:hint="eastAsia" w:asciiTheme="minorEastAsia" w:hAnsiTheme="minorEastAsia" w:eastAsiaTheme="minorEastAsia" w:cs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u w:val="single"/>
        </w:rPr>
        <w:t xml:space="preserve">  常州旅游商贸高等职业技术学校二期校园网络设备及安装</w:t>
      </w:r>
      <w:r>
        <w:rPr>
          <w:rFonts w:hint="eastAsia" w:ascii="宋体" w:hAnsi="宋体"/>
          <w:sz w:val="24"/>
          <w:szCs w:val="24"/>
          <w:u w:val="single"/>
        </w:rPr>
        <w:t xml:space="preserve"> </w:t>
      </w:r>
      <w:r>
        <w:rPr>
          <w:rFonts w:hint="eastAsia" w:asciiTheme="minorEastAsia" w:hAnsiTheme="minorEastAsia" w:eastAsiaTheme="minorEastAsia" w:cstheme="minorEastAsia"/>
          <w:sz w:val="24"/>
          <w:szCs w:val="24"/>
        </w:rPr>
        <w:t xml:space="preserve">公开招标项目的潜在供应商可在</w:t>
      </w:r>
      <w:r>
        <w:rPr>
          <w:rFonts w:hint="eastAsia" w:asciiTheme="minorEastAsia" w:hAnsiTheme="minorEastAsia" w:eastAsiaTheme="minorEastAsia" w:cstheme="minorEastAsia"/>
          <w:sz w:val="24"/>
          <w:szCs w:val="24"/>
          <w:u w:val="single"/>
        </w:rPr>
        <w:t xml:space="preserve">“江苏政府采购网、常州市政府采购网”自行免费下载采购</w:t>
      </w:r>
      <w:r>
        <w:rPr>
          <w:rFonts w:hint="eastAsia" w:asciiTheme="minorEastAsia" w:hAnsiTheme="minorEastAsia" w:eastAsiaTheme="minorEastAsia" w:cstheme="minorEastAsia"/>
          <w:sz w:val="24"/>
          <w:szCs w:val="24"/>
        </w:rPr>
        <w:t xml:space="preserve">文件，并于</w:t>
      </w:r>
      <w:r>
        <w:rPr>
          <w:rFonts w:hint="eastAsia" w:asciiTheme="minorEastAsia" w:hAnsiTheme="minorEastAsia" w:eastAsiaTheme="minorEastAsia" w:cstheme="minorEastAsia"/>
          <w:sz w:val="24"/>
          <w:szCs w:val="24"/>
          <w:u w:val="single"/>
        </w:rPr>
        <w:t xml:space="preserve">  2026  </w:t>
      </w:r>
      <w:r>
        <w:rPr>
          <w:rFonts w:hint="eastAsia" w:asciiTheme="minorEastAsia" w:hAnsiTheme="minorEastAsia" w:eastAsiaTheme="minorEastAsia" w:cstheme="minorEastAsia"/>
          <w:bCs/>
          <w:sz w:val="24"/>
          <w:szCs w:val="24"/>
          <w:u w:val="single"/>
        </w:rPr>
        <w:t xml:space="preserve">年 </w:t>
      </w:r>
      <w:r>
        <w:rPr>
          <w:rFonts w:hint="eastAsia" w:asciiTheme="minorEastAsia" w:hAnsiTheme="minorEastAsia" w:eastAsiaTheme="minorEastAsia" w:cstheme="minorEastAsia"/>
          <w:bCs/>
          <w:sz w:val="24"/>
          <w:szCs w:val="24"/>
          <w:u w:val="single"/>
          <w:lang w:val="en-US" w:eastAsia="zh-CN"/>
        </w:rPr>
        <w:t xml:space="preserve">7</w:t>
      </w:r>
      <w:r>
        <w:rPr>
          <w:rFonts w:hint="eastAsia" w:asciiTheme="minorEastAsia" w:hAnsiTheme="minorEastAsia" w:eastAsiaTheme="minorEastAsia" w:cstheme="minorEastAsia"/>
          <w:bCs/>
          <w:sz w:val="24"/>
          <w:szCs w:val="24"/>
          <w:u w:val="single"/>
        </w:rPr>
        <w:t xml:space="preserve">月</w:t>
      </w:r>
      <w:r>
        <w:rPr>
          <w:rFonts w:hint="eastAsia" w:asciiTheme="minorEastAsia" w:hAnsiTheme="minorEastAsia" w:eastAsiaTheme="minorEastAsia" w:cstheme="minorEastAsia"/>
          <w:bCs/>
          <w:sz w:val="24"/>
          <w:szCs w:val="24"/>
          <w:u w:val="single"/>
          <w:lang w:val="en-US" w:eastAsia="zh-CN"/>
        </w:rPr>
        <w:t xml:space="preserve">20</w:t>
      </w:r>
      <w:r>
        <w:rPr>
          <w:rFonts w:hint="eastAsia" w:asciiTheme="minorEastAsia" w:hAnsiTheme="minorEastAsia" w:eastAsiaTheme="minorEastAsia" w:cstheme="minorEastAsia"/>
          <w:bCs/>
          <w:sz w:val="24"/>
          <w:szCs w:val="24"/>
          <w:u w:val="single"/>
        </w:rPr>
        <w:t xml:space="preserve">日 </w:t>
      </w:r>
      <w:r>
        <w:rPr>
          <w:rFonts w:hint="eastAsia" w:asciiTheme="minorEastAsia" w:hAnsiTheme="minorEastAsia" w:eastAsiaTheme="minorEastAsia" w:cstheme="minorEastAsia"/>
          <w:bCs/>
          <w:sz w:val="24"/>
          <w:szCs w:val="24"/>
          <w:u w:val="single"/>
          <w:lang w:val="en-US" w:eastAsia="zh-CN"/>
        </w:rPr>
        <w:t xml:space="preserve">14</w:t>
      </w:r>
      <w:r>
        <w:rPr>
          <w:rFonts w:hint="eastAsia" w:asciiTheme="minorEastAsia" w:hAnsiTheme="minorEastAsia" w:eastAsiaTheme="minorEastAsia" w:cstheme="minorEastAsia"/>
          <w:bCs/>
          <w:sz w:val="24"/>
          <w:szCs w:val="24"/>
          <w:u w:val="single"/>
        </w:rPr>
        <w:t xml:space="preserve"> 点 </w:t>
      </w:r>
      <w:r>
        <w:rPr>
          <w:rFonts w:hint="eastAsia" w:asciiTheme="minorEastAsia" w:hAnsiTheme="minorEastAsia" w:eastAsiaTheme="minorEastAsia" w:cstheme="minorEastAsia"/>
          <w:bCs/>
          <w:sz w:val="24"/>
          <w:szCs w:val="24"/>
          <w:u w:val="single"/>
          <w:lang w:val="en-US" w:eastAsia="zh-CN"/>
        </w:rPr>
        <w:t xml:space="preserve">0</w:t>
      </w:r>
      <w:r>
        <w:rPr>
          <w:rFonts w:hint="eastAsia" w:asciiTheme="minorEastAsia" w:hAnsiTheme="minorEastAsia" w:eastAsiaTheme="minorEastAsia" w:cstheme="minorEastAsia"/>
          <w:bCs/>
          <w:sz w:val="24"/>
          <w:szCs w:val="24"/>
          <w:u w:val="single"/>
        </w:rPr>
        <w:t xml:space="preserve">0 分（</w:t>
      </w:r>
      <w:r>
        <w:rPr>
          <w:rFonts w:hint="eastAsia" w:asciiTheme="minorEastAsia" w:hAnsiTheme="minorEastAsia" w:eastAsiaTheme="minorEastAsia" w:cstheme="minorEastAsia"/>
          <w:bCs/>
          <w:sz w:val="24"/>
          <w:szCs w:val="24"/>
        </w:rPr>
        <w:t xml:space="preserve">北京时间）前递交投标文件</w:t>
      </w:r>
      <w:r>
        <w:rPr>
          <w:rFonts w:hint="eastAsia" w:asciiTheme="minorEastAsia" w:hAnsiTheme="minorEastAsia" w:eastAsiaTheme="minorEastAsia" w:cstheme="minorEastAsia"/>
          <w:sz w:val="24"/>
          <w:szCs w:val="24"/>
        </w:rPr>
        <w:t xml:space="preserve">。</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3"/>
        <w:ind w:firstLine="498"/>
        <w:spacing w:before="156" w:after="156" w:line="360" w:lineRule="auto"/>
        <w:rPr>
          <w:rFonts w:hint="eastAsia" w:asciiTheme="minorEastAsia" w:hAnsiTheme="minorEastAsia" w:eastAsiaTheme="minorEastAsia" w:cstheme="minorEastAsia"/>
        </w:rPr>
      </w:pPr>
      <w:r/>
      <w:bookmarkStart w:id="9" w:name="_Toc28359002"/>
      <w:r/>
      <w:bookmarkStart w:id="10" w:name="_Toc38985263"/>
      <w:r/>
      <w:bookmarkStart w:id="11" w:name="_Toc28359079"/>
      <w:r/>
      <w:bookmarkStart w:id="12" w:name="_Toc35393621"/>
      <w:r/>
      <w:bookmarkStart w:id="13" w:name="_Toc35393790"/>
      <w:r/>
      <w:bookmarkStart w:id="14" w:name="_Hlk24379207"/>
      <w:r>
        <w:rPr>
          <w:rFonts w:hint="eastAsia" w:asciiTheme="minorEastAsia" w:hAnsiTheme="minorEastAsia" w:eastAsiaTheme="minorEastAsia" w:cstheme="minorEastAsia"/>
        </w:rPr>
        <w:t xml:space="preserve">一、项目基本情况</w:t>
      </w:r>
      <w:bookmarkEnd w:id="9"/>
      <w:r/>
      <w:bookmarkEnd w:id="10"/>
      <w:r/>
      <w:bookmarkEnd w:id="11"/>
      <w:r/>
      <w:bookmarkEnd w:id="12"/>
      <w:r/>
      <w:bookmarkEnd w:id="13"/>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1.项目编号：JSZC-320400-JZCG-G2026-0</w:t>
      </w:r>
      <w:r>
        <w:rPr>
          <w:rFonts w:hint="eastAsia" w:asciiTheme="minorEastAsia" w:hAnsiTheme="minorEastAsia" w:eastAsiaTheme="minorEastAsia" w:cstheme="minorEastAsia"/>
          <w:sz w:val="24"/>
          <w:szCs w:val="24"/>
          <w:lang w:val="en-US" w:eastAsia="zh-CN"/>
        </w:rPr>
        <w:t xml:space="preserve">178</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r/>
    </w:p>
    <w:p>
      <w:pPr>
        <w:ind w:firstLine="480"/>
        <w:spacing w:line="360" w:lineRule="auto"/>
        <w:rPr>
          <w:rFonts w:hint="eastAsia" w:ascii="宋体" w:hAnsi="宋体"/>
          <w:sz w:val="24"/>
          <w:szCs w:val="24"/>
        </w:rPr>
      </w:pPr>
      <w:r>
        <w:rPr>
          <w:rFonts w:hint="eastAsia" w:asciiTheme="minorEastAsia" w:hAnsiTheme="minorEastAsia" w:eastAsiaTheme="minorEastAsia" w:cstheme="minorEastAsia"/>
          <w:sz w:val="24"/>
          <w:szCs w:val="24"/>
        </w:rPr>
        <w:t xml:space="preserve">2.项目名称：</w:t>
      </w:r>
      <w:bookmarkEnd w:id="14"/>
      <w:r/>
      <w:bookmarkStart w:id="15" w:name="_Toc35393622"/>
      <w:r/>
      <w:bookmarkStart w:id="16" w:name="_Toc38985264"/>
      <w:r/>
      <w:bookmarkStart w:id="17" w:name="_Toc28359003"/>
      <w:r/>
      <w:bookmarkStart w:id="18" w:name="_Toc28359080"/>
      <w:r/>
      <w:bookmarkStart w:id="19" w:name="_Toc35393791"/>
      <w:r>
        <w:rPr>
          <w:rFonts w:hint="eastAsia" w:ascii="宋体" w:hAnsi="宋体"/>
          <w:sz w:val="24"/>
          <w:szCs w:val="24"/>
        </w:rPr>
        <w:t xml:space="preserve">常州旅游商贸高等职业技术学校二期校园网络设备及安装</w:t>
      </w:r>
      <w:r/>
    </w:p>
    <w:p>
      <w:pPr>
        <w:ind w:firstLine="480"/>
        <w:spacing w:line="360" w:lineRule="auto"/>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354.335</w:t>
      </w:r>
      <w:r>
        <w:rPr>
          <w:rFonts w:hint="eastAsia" w:ascii="宋体" w:hAnsi="宋体"/>
          <w:sz w:val="24"/>
          <w:szCs w:val="24"/>
        </w:rPr>
        <w:t xml:space="preserve">万元</w:t>
      </w:r>
      <w:r/>
    </w:p>
    <w:p>
      <w:pPr>
        <w:ind w:firstLine="480"/>
        <w:spacing w:line="360" w:lineRule="auto"/>
        <w:rPr>
          <w:rFonts w:hint="eastAsia"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354.33</w:t>
      </w:r>
      <w:r>
        <w:rPr>
          <w:rFonts w:hint="eastAsia" w:ascii="宋体" w:hAnsi="宋体"/>
          <w:sz w:val="24"/>
          <w:szCs w:val="24"/>
          <w:u w:val="single"/>
        </w:rPr>
        <w:t xml:space="preserve">5 </w:t>
      </w:r>
      <w:r>
        <w:rPr>
          <w:rFonts w:hint="eastAsia" w:ascii="宋体" w:hAnsi="宋体"/>
          <w:sz w:val="24"/>
          <w:szCs w:val="24"/>
        </w:rPr>
        <w:t xml:space="preserve">万元。</w:t>
      </w:r>
      <w:r/>
    </w:p>
    <w:tbl>
      <w:tblPr>
        <w:tblStyle w:val="735"/>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3052"/>
        <w:gridCol w:w="1712"/>
        <w:gridCol w:w="1757"/>
        <w:gridCol w:w="1565"/>
      </w:tblGrid>
      <w:tr>
        <w:trPr>
          <w:trHeight w:val="600"/>
        </w:trPr>
        <w:tc>
          <w:tcPr>
            <w:tcW w:w="250" w:type="pct"/>
            <w:vAlign w:val="center"/>
            <w:textDirection w:val="lrTb"/>
            <w:noWrap w:val="false"/>
          </w:tcPr>
          <w:p>
            <w:pPr>
              <w:jc w:val="center"/>
              <w:spacing w:line="360" w:lineRule="auto"/>
              <w:widowControl/>
              <w:rPr>
                <w:rFonts w:hint="eastAsia" w:ascii="宋体" w:hAnsi="宋体" w:cs="宋体"/>
                <w:lang w:bidi="ar"/>
              </w:rPr>
            </w:pPr>
            <w:r>
              <w:rPr>
                <w:rFonts w:hint="eastAsia" w:ascii="宋体" w:hAnsi="宋体" w:cs="宋体"/>
                <w:lang w:bidi="ar"/>
              </w:rPr>
              <w:t xml:space="preserve">包号</w:t>
            </w:r>
            <w:r/>
          </w:p>
        </w:tc>
        <w:tc>
          <w:tcPr>
            <w:tcW w:w="1792" w:type="pct"/>
            <w:vAlign w:val="center"/>
            <w:textDirection w:val="lrTb"/>
            <w:noWrap w:val="false"/>
          </w:tcPr>
          <w:p>
            <w:pPr>
              <w:jc w:val="center"/>
              <w:spacing w:line="360" w:lineRule="auto"/>
              <w:widowControl/>
              <w:rPr>
                <w:rFonts w:hint="eastAsia" w:ascii="宋体" w:hAnsi="宋体" w:cs="宋体"/>
                <w:lang w:bidi="ar"/>
              </w:rPr>
            </w:pPr>
            <w:r>
              <w:rPr>
                <w:bCs/>
              </w:rPr>
              <w:t xml:space="preserve">标的名称</w:t>
            </w:r>
            <w:r/>
          </w:p>
        </w:tc>
        <w:tc>
          <w:tcPr>
            <w:tcW w:w="1005" w:type="pct"/>
            <w:vAlign w:val="center"/>
            <w:textDirection w:val="lrTb"/>
            <w:noWrap/>
          </w:tcPr>
          <w:p>
            <w:pPr>
              <w:jc w:val="center"/>
              <w:spacing w:line="360" w:lineRule="auto"/>
              <w:rPr>
                <w:bCs/>
              </w:rPr>
            </w:pPr>
            <w:r>
              <w:rPr>
                <w:bCs/>
              </w:rPr>
              <w:t xml:space="preserve">采购包预算金额</w:t>
            </w:r>
            <w:r/>
          </w:p>
          <w:p>
            <w:pPr>
              <w:jc w:val="center"/>
              <w:spacing w:line="360" w:lineRule="auto"/>
              <w:widowControl/>
              <w:rPr>
                <w:rFonts w:hint="eastAsia" w:ascii="宋体" w:hAnsi="宋体" w:cs="宋体"/>
                <w:lang w:bidi="ar"/>
              </w:rPr>
            </w:pPr>
            <w:r>
              <w:rPr>
                <w:bCs/>
              </w:rPr>
              <w:t xml:space="preserve">（万元）</w:t>
            </w:r>
            <w:r/>
          </w:p>
        </w:tc>
        <w:tc>
          <w:tcPr>
            <w:tcW w:w="1032" w:type="pct"/>
            <w:vAlign w:val="center"/>
            <w:textDirection w:val="lrTb"/>
            <w:noWrap/>
          </w:tcPr>
          <w:p>
            <w:pPr>
              <w:jc w:val="center"/>
              <w:spacing w:line="360" w:lineRule="auto"/>
              <w:widowControl/>
              <w:rPr>
                <w:rFonts w:hint="eastAsia" w:ascii="宋体" w:hAnsi="宋体" w:cs="宋体"/>
                <w:lang w:bidi="ar"/>
              </w:rPr>
            </w:pPr>
            <w:r>
              <w:rPr>
                <w:bCs/>
              </w:rPr>
              <w:t xml:space="preserve">采购包</w:t>
            </w:r>
            <w:r>
              <w:rPr>
                <w:rFonts w:hint="eastAsia" w:ascii="宋体" w:hAnsi="宋体" w:cs="宋体"/>
                <w:lang w:bidi="ar"/>
              </w:rPr>
              <w:t xml:space="preserve">最高限额</w:t>
            </w:r>
            <w:r/>
          </w:p>
          <w:p>
            <w:pPr>
              <w:jc w:val="center"/>
              <w:spacing w:line="360" w:lineRule="auto"/>
              <w:widowControl/>
              <w:rPr>
                <w:rFonts w:hint="eastAsia" w:ascii="宋体" w:hAnsi="宋体" w:cs="宋体"/>
                <w:lang w:bidi="ar"/>
              </w:rPr>
            </w:pPr>
            <w:r>
              <w:rPr>
                <w:rFonts w:hint="eastAsia" w:ascii="宋体" w:hAnsi="宋体" w:cs="宋体"/>
                <w:lang w:bidi="ar"/>
              </w:rPr>
              <w:t xml:space="preserve">（万元）</w:t>
            </w:r>
            <w:r/>
          </w:p>
        </w:tc>
        <w:tc>
          <w:tcPr>
            <w:tcW w:w="919" w:type="pct"/>
            <w:vAlign w:val="center"/>
            <w:textDirection w:val="lrTb"/>
            <w:noWrap/>
          </w:tcPr>
          <w:p>
            <w:pPr>
              <w:jc w:val="center"/>
              <w:spacing w:line="360" w:lineRule="auto"/>
              <w:widowControl/>
              <w:rPr>
                <w:rFonts w:hint="eastAsia" w:ascii="宋体" w:hAnsi="宋体" w:cs="宋体"/>
                <w:lang w:bidi="ar"/>
              </w:rPr>
            </w:pPr>
            <w:r>
              <w:rPr>
                <w:rFonts w:hint="eastAsia" w:ascii="宋体" w:hAnsi="宋体" w:cs="宋体"/>
                <w:lang w:bidi="ar"/>
              </w:rPr>
              <w:t xml:space="preserve">简要技术需求或服务要求</w:t>
            </w:r>
            <w:r/>
          </w:p>
        </w:tc>
      </w:tr>
      <w:tr>
        <w:trPr>
          <w:trHeight w:val="600"/>
        </w:trPr>
        <w:tc>
          <w:tcPr>
            <w:tcW w:w="250" w:type="pct"/>
            <w:vAlign w:val="center"/>
            <w:textDirection w:val="lrTb"/>
            <w:noWrap w:val="false"/>
          </w:tcPr>
          <w:p>
            <w:pPr>
              <w:jc w:val="center"/>
              <w:spacing w:line="360" w:lineRule="auto"/>
              <w:widowControl/>
              <w:rPr>
                <w:rFonts w:hint="eastAsia" w:ascii="宋体" w:hAnsi="宋体" w:eastAsia="宋体" w:cs="宋体"/>
                <w:lang w:val="en-US" w:eastAsia="zh-CN" w:bidi="ar"/>
              </w:rPr>
            </w:pPr>
            <w:r>
              <w:rPr>
                <w:rFonts w:hint="eastAsia" w:ascii="宋体" w:hAnsi="宋体" w:cs="宋体"/>
                <w:lang w:val="en-US" w:eastAsia="zh-CN" w:bidi="ar"/>
              </w:rPr>
              <w:t xml:space="preserve">1</w:t>
            </w:r>
            <w:r/>
          </w:p>
        </w:tc>
        <w:tc>
          <w:tcPr>
            <w:shd w:val="clear" w:color="auto" w:fill="auto"/>
            <w:tcW w:w="1792" w:type="pct"/>
            <w:vAlign w:val="center"/>
            <w:textDirection w:val="lrTb"/>
            <w:noWrap w:val="false"/>
          </w:tcPr>
          <w:p>
            <w:pPr>
              <w:jc w:val="center"/>
              <w:spacing w:line="360" w:lineRule="auto"/>
              <w:rPr>
                <w:rFonts w:hint="eastAsia" w:asciiTheme="minorEastAsia" w:hAnsiTheme="minorEastAsia" w:eastAsiaTheme="minorEastAsia" w:cstheme="minorEastAsia"/>
                <w:color w:val="0000ff"/>
                <w:sz w:val="21"/>
                <w:szCs w:val="21"/>
                <w:lang w:val="en-US" w:eastAsia="zh-CN" w:bidi="ar-SA"/>
              </w:rPr>
            </w:pPr>
            <w:r>
              <w:rPr>
                <w:rFonts w:hint="eastAsia" w:ascii="宋体" w:hAnsi="宋体"/>
              </w:rPr>
              <w:t xml:space="preserve">常州旅游商贸高等职业技术学校二期校园网络设备及安装</w:t>
            </w:r>
            <w:r/>
          </w:p>
        </w:tc>
        <w:tc>
          <w:tcPr>
            <w:shd w:val="clear" w:color="auto" w:fill="auto"/>
            <w:tcW w:w="1005" w:type="pct"/>
            <w:vAlign w:val="center"/>
            <w:textDirection w:val="lrTb"/>
            <w:noWrap/>
          </w:tcPr>
          <w:p>
            <w:pPr>
              <w:jc w:val="center"/>
              <w:spacing w:line="360" w:lineRule="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rPr>
              <w:t xml:space="preserve">354.335</w:t>
            </w:r>
            <w:r/>
          </w:p>
        </w:tc>
        <w:tc>
          <w:tcPr>
            <w:shd w:val="clear" w:color="auto" w:fill="auto"/>
            <w:tcW w:w="1032" w:type="pct"/>
            <w:vAlign w:val="center"/>
            <w:textDirection w:val="lrTb"/>
            <w:noWrap/>
          </w:tcPr>
          <w:p>
            <w:pPr>
              <w:jc w:val="center"/>
              <w:spacing w:line="360" w:lineRule="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rPr>
              <w:t xml:space="preserve">354.335</w:t>
            </w:r>
            <w:r/>
          </w:p>
        </w:tc>
        <w:tc>
          <w:tcPr>
            <w:tcW w:w="919" w:type="pct"/>
            <w:vAlign w:val="center"/>
            <w:textDirection w:val="lrTb"/>
            <w:noWrap/>
          </w:tcPr>
          <w:p>
            <w:pPr>
              <w:jc w:val="center"/>
              <w:spacing w:line="360" w:lineRule="auto"/>
              <w:widowControl/>
              <w:rPr>
                <w:rFonts w:hint="eastAsia" w:ascii="宋体" w:hAnsi="宋体" w:cs="宋体"/>
                <w:lang w:bidi="ar"/>
              </w:rPr>
            </w:pPr>
            <w:r>
              <w:rPr>
                <w:rFonts w:hint="eastAsia"/>
              </w:rPr>
              <w:t xml:space="preserve">详见“第四章 采购需求”</w:t>
            </w:r>
            <w:r/>
          </w:p>
        </w:tc>
      </w:tr>
    </w:tbl>
    <w:p>
      <w:pPr>
        <w:pStyle w:val="739"/>
        <w:rPr>
          <w:rFonts w:hint="eastAsia"/>
        </w:rPr>
      </w:pPr>
      <w:r>
        <w:t xml:space="preserve">注：</w:t>
      </w:r>
      <w:r/>
    </w:p>
    <w:p>
      <w:pPr>
        <w:pStyle w:val="739"/>
        <w:numPr>
          <w:ilvl w:val="0"/>
          <w:numId w:val="4"/>
        </w:numPr>
        <w:rPr>
          <w:rFonts w:hint="eastAsia"/>
          <w:b/>
          <w:bCs/>
        </w:rPr>
      </w:pPr>
      <w:r>
        <w:rPr>
          <w:b/>
          <w:bCs/>
        </w:rPr>
        <w:t xml:space="preserve">报价不得超过预算金额</w:t>
      </w:r>
      <w:r>
        <w:rPr>
          <w:rFonts w:hint="eastAsia"/>
          <w:b/>
          <w:bCs/>
        </w:rPr>
        <w:t xml:space="preserve">和最高限额</w:t>
      </w:r>
      <w:r>
        <w:rPr>
          <w:b/>
          <w:bCs/>
        </w:rPr>
        <w:t xml:space="preserve">，否则作无效</w:t>
      </w:r>
      <w:r>
        <w:rPr>
          <w:rFonts w:hint="eastAsia"/>
          <w:b/>
          <w:bCs/>
        </w:rPr>
        <w:t xml:space="preserve">投标</w:t>
      </w:r>
      <w:r>
        <w:rPr>
          <w:b/>
          <w:bCs/>
        </w:rPr>
        <w:t xml:space="preserve">处理。</w:t>
      </w:r>
      <w:r/>
    </w:p>
    <w:p>
      <w:pPr>
        <w:pStyle w:val="739"/>
        <w:numPr>
          <w:ilvl w:val="0"/>
          <w:numId w:val="4"/>
        </w:numPr>
        <w:rPr>
          <w:rFonts w:hint="eastAsia"/>
          <w:b/>
          <w:bCs/>
        </w:rPr>
      </w:pPr>
      <w:r>
        <w:rPr>
          <w:rFonts w:hint="eastAsia"/>
          <w:b/>
          <w:bCs/>
        </w:rPr>
        <w:t xml:space="preserve">凡是框架协议采购的设备不在本次报价范围内。</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u w:val="single"/>
        </w:rPr>
      </w:pPr>
      <w:r>
        <w:rPr>
          <w:rFonts w:hint="eastAsia" w:ascii="宋体" w:hAnsi="宋体"/>
          <w:sz w:val="24"/>
          <w:szCs w:val="24"/>
        </w:rPr>
        <w:t xml:space="preserve">5.采购需求（简介）：常州旅游商贸高等职业技术学校二期校园网络设备及安装采购。（详细内容见本招标文件第四章） </w:t>
      </w:r>
      <w:r>
        <w:rPr>
          <w:rFonts w:hint="eastAsia" w:ascii="宋体" w:hAnsi="宋体" w:cs="宋体"/>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b/>
          <w:bCs/>
          <w:sz w:val="24"/>
          <w:szCs w:val="24"/>
        </w:rPr>
        <w:t xml:space="preserve">自合同签订生效之日</w:t>
      </w:r>
      <w:r>
        <w:rPr>
          <w:rFonts w:hint="eastAsia" w:ascii="宋体" w:hAnsi="宋体"/>
          <w:sz w:val="24"/>
          <w:szCs w:val="24"/>
        </w:rPr>
        <w:t xml:space="preserve">起、项目验收合格之日止。</w:t>
      </w:r>
      <w:r/>
    </w:p>
    <w:p>
      <w:pPr>
        <w:ind w:firstLine="480"/>
        <w:spacing w:line="360" w:lineRule="auto"/>
        <w:rPr>
          <w:rFonts w:hint="default" w:eastAsia="宋体"/>
          <w:lang w:val="en-US" w:eastAsia="zh-CN"/>
        </w:rPr>
      </w:pPr>
      <w:r>
        <w:rPr>
          <w:rFonts w:hint="eastAsia" w:ascii="宋体" w:hAnsi="宋体" w:eastAsia="宋体"/>
          <w:b/>
          <w:bCs/>
          <w:sz w:val="24"/>
          <w:szCs w:val="24"/>
          <w:lang w:val="en-US" w:eastAsia="zh-CN"/>
        </w:rPr>
        <w:t xml:space="preserve">7.关于符合本国产品标准的声明函不作为废标项。</w:t>
      </w:r>
      <w:r/>
    </w:p>
    <w:p>
      <w:pPr>
        <w:pStyle w:val="933"/>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二、申请人的资格要求：</w:t>
      </w:r>
      <w:bookmarkEnd w:id="15"/>
      <w:r/>
      <w:bookmarkEnd w:id="16"/>
      <w:r/>
      <w:bookmarkEnd w:id="17"/>
      <w:r/>
      <w:bookmarkEnd w:id="18"/>
      <w:r/>
      <w:bookmarkEnd w:id="19"/>
      <w:r/>
      <w:r/>
    </w:p>
    <w:p>
      <w:pPr>
        <w:ind w:firstLine="480"/>
        <w:spacing w:line="360" w:lineRule="auto"/>
        <w:rPr>
          <w:rFonts w:hint="eastAsia" w:asciiTheme="minorEastAsia" w:hAnsiTheme="minorEastAsia" w:eastAsiaTheme="minorEastAsia" w:cstheme="minorEastAsia"/>
          <w:sz w:val="24"/>
          <w:szCs w:val="24"/>
        </w:rPr>
      </w:pPr>
      <w:r/>
      <w:bookmarkStart w:id="20" w:name="_Toc28359081"/>
      <w:r/>
      <w:bookmarkStart w:id="21" w:name="_Toc35393792"/>
      <w:r/>
      <w:bookmarkStart w:id="22" w:name="_Toc35393623"/>
      <w:r/>
      <w:bookmarkStart w:id="23" w:name="_Toc28359004"/>
      <w:r/>
      <w:bookmarkStart w:id="24" w:name="_Toc38985265"/>
      <w:r>
        <w:rPr>
          <w:rFonts w:hint="eastAsia" w:asciiTheme="minorEastAsia" w:hAnsiTheme="minorEastAsia" w:eastAsiaTheme="minorEastAsia" w:cstheme="minorEastAsia"/>
          <w:sz w:val="24"/>
          <w:szCs w:val="24"/>
        </w:rPr>
        <w:t xml:space="preserve">（一）通用资格要求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1.满足《中华人民共和国政府采购法》第二十二条规定，并提供投标人资格声明函。</w:t>
      </w:r>
      <w:r/>
    </w:p>
    <w:p>
      <w:pPr>
        <w:ind w:firstLine="480"/>
        <w:spacing w:line="360" w:lineRule="auto"/>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3.落实政府采购政策需满足的资格要求：无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4.本项目不接受联合体投标。</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（二）本项目的特定资格要求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pStyle w:val="933"/>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三、获取招标文件</w:t>
      </w:r>
      <w:bookmarkEnd w:id="20"/>
      <w:r/>
      <w:bookmarkEnd w:id="21"/>
      <w:r/>
      <w:bookmarkEnd w:id="22"/>
      <w:r/>
      <w:bookmarkEnd w:id="23"/>
      <w:r/>
      <w:bookmarkEnd w:id="24"/>
      <w:r/>
      <w:r/>
    </w:p>
    <w:p>
      <w:pPr>
        <w:ind w:firstLine="540"/>
        <w:spacing w:line="360" w:lineRule="auto"/>
        <w:rPr>
          <w:rFonts w:hint="eastAsia" w:asciiTheme="minorEastAsia" w:hAnsiTheme="minorEastAsia" w:eastAsiaTheme="minorEastAsia" w:cstheme="minorEastAsia"/>
          <w:sz w:val="24"/>
          <w:szCs w:val="24"/>
        </w:rPr>
      </w:pPr>
      <w:r/>
      <w:bookmarkStart w:id="25" w:name="_Toc28359082"/>
      <w:r/>
      <w:bookmarkStart w:id="26" w:name="_Toc38985266"/>
      <w:r/>
      <w:bookmarkStart w:id="27" w:name="_Toc28359005"/>
      <w:r/>
      <w:bookmarkStart w:id="28" w:name="_Toc35393624"/>
      <w:r/>
      <w:bookmarkStart w:id="29" w:name="_Toc35393793"/>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2.方式：在“江苏政府采购网”、“常州市政府采购网”自行免费下载招标文件。</w:t>
      </w:r>
      <w:bookmarkEnd w:id="25"/>
      <w:bookmarkEnd w:id="26"/>
      <w:bookmarkEnd w:id="27"/>
      <w:bookmarkEnd w:id="28"/>
      <w:bookmarkEnd w:id="29"/>
      <w:r/>
    </w:p>
    <w:p>
      <w:pPr>
        <w:pStyle w:val="933"/>
        <w:ind w:firstLine="498"/>
        <w:spacing w:before="156" w:after="156" w:line="360" w:lineRule="auto"/>
        <w:rPr>
          <w:rFonts w:hint="eastAsia" w:asciiTheme="minorEastAsia" w:hAnsiTheme="minorEastAsia" w:eastAsiaTheme="minorEastAsia" w:cstheme="minorEastAsia"/>
        </w:rPr>
      </w:pPr>
      <w:r/>
      <w:bookmarkStart w:id="30" w:name="_Toc35393625"/>
      <w:r/>
      <w:bookmarkStart w:id="31" w:name="_Toc28359007"/>
      <w:r/>
      <w:bookmarkStart w:id="32" w:name="_Toc38985267"/>
      <w:r/>
      <w:bookmarkStart w:id="33" w:name="_Toc35393794"/>
      <w:r/>
      <w:bookmarkStart w:id="34" w:name="_Toc28359084"/>
      <w:r>
        <w:rPr>
          <w:rFonts w:hint="eastAsia" w:asciiTheme="minorEastAsia" w:hAnsiTheme="minorEastAsia" w:eastAsiaTheme="minorEastAsia" w:cstheme="minorEastAsia"/>
        </w:rPr>
        <w:t xml:space="preserve">四、投标文件提交</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2.地点：苏采云政府采购一体化平台</w:t>
      </w:r>
      <w:r/>
    </w:p>
    <w:p>
      <w:pPr>
        <w:pStyle w:val="933"/>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五、公告期限</w:t>
      </w:r>
      <w:bookmarkEnd w:id="30"/>
      <w:r/>
      <w:bookmarkEnd w:id="31"/>
      <w:r/>
      <w:bookmarkEnd w:id="32"/>
      <w:r/>
      <w:bookmarkEnd w:id="33"/>
      <w:r/>
      <w:bookmarkEnd w:id="34"/>
      <w:r/>
      <w:r/>
    </w:p>
    <w:p>
      <w:pPr>
        <w:ind w:firstLine="480"/>
        <w:rPr>
          <w:rFonts w:hint="eastAsia" w:asciiTheme="minorEastAsia" w:hAnsiTheme="minorEastAsia" w:eastAsiaTheme="minorEastAsia" w:cstheme="minorEastAsia"/>
          <w:sz w:val="24"/>
          <w:szCs w:val="24"/>
        </w:rPr>
      </w:pPr>
      <w:r/>
      <w:bookmarkStart w:id="35" w:name="_Toc35393795"/>
      <w:r/>
      <w:bookmarkStart w:id="36" w:name="_Toc35393626"/>
      <w:r/>
      <w:bookmarkStart w:id="37" w:name="_Toc38985268"/>
      <w:r>
        <w:rPr>
          <w:rFonts w:hint="eastAsia" w:asciiTheme="minorEastAsia" w:hAnsiTheme="minorEastAsia" w:eastAsiaTheme="minorEastAsia" w:cstheme="minorEastAsia"/>
          <w:sz w:val="24"/>
          <w:szCs w:val="24"/>
        </w:rPr>
        <w:t xml:space="preserve">招标公告及招标文件公告期限为自本公告发布之日起5个工作日。</w:t>
      </w:r>
      <w:r/>
    </w:p>
    <w:p>
      <w:pPr>
        <w:pStyle w:val="933"/>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六、其他补充事宜</w:t>
      </w:r>
      <w:bookmarkEnd w:id="35"/>
      <w:r/>
      <w:bookmarkEnd w:id="36"/>
      <w:r/>
      <w:bookmarkEnd w:id="37"/>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pStyle w:val="933"/>
        <w:ind w:firstLine="498"/>
        <w:spacing w:before="156" w:after="156" w:line="360" w:lineRule="auto"/>
      </w:pPr>
      <w:r/>
      <w:bookmarkStart w:id="38" w:name="_Toc38985269"/>
      <w:r/>
      <w:bookmarkStart w:id="39" w:name="_Toc35393627"/>
      <w:r/>
      <w:bookmarkStart w:id="40" w:name="_Toc35393796"/>
      <w:r/>
      <w:bookmarkStart w:id="41" w:name="_Toc28359008"/>
      <w:r/>
      <w:bookmarkStart w:id="42" w:name="_Toc28359085"/>
      <w:r/>
      <w:bookmarkStart w:id="43" w:name="_Toc28359010"/>
      <w:r/>
      <w:bookmarkStart w:id="44" w:name="_Toc28359087"/>
      <w:r>
        <w:rPr>
          <w:rFonts w:hint="eastAsia"/>
        </w:rPr>
        <w:t xml:space="preserve">七、本次招标联系方式</w:t>
      </w:r>
      <w:bookmarkEnd w:id="38"/>
      <w:r/>
      <w:bookmarkEnd w:id="39"/>
      <w:r/>
      <w:bookmarkEnd w:id="40"/>
      <w:r/>
      <w:bookmarkEnd w:id="41"/>
      <w:r/>
      <w:bookmarkEnd w:id="42"/>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名  称：常州旅游商贸高等职业技术学校</w:t>
      </w:r>
      <w:r>
        <w:rPr>
          <w:rFonts w:hint="eastAsia" w:ascii="宋体" w:hAnsi="宋体" w:cs="宋体"/>
          <w:sz w:val="24"/>
          <w:szCs w:val="24"/>
        </w:rPr>
        <w:tab/>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地  址：常州市新北区红河路88号</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联系人： 徐先生</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联系方式：0519-85920518</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地　址：常州市钟楼区新市路9号</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采购文件相关联系人：彭先生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  话：0519-81098176</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开标评审相关联系人：周先生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  话：0519-86607039</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电子化招投标技术支持电话：0519-85588210</w:t>
      </w:r>
      <w:r/>
    </w:p>
    <w:p>
      <w:pPr>
        <w:ind w:firstLine="7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bookmarkEnd w:id="43"/>
      <w:bookmarkEnd w:id="44"/>
      <w:r/>
    </w:p>
    <w:p>
      <w:pPr>
        <w:pStyle w:val="933"/>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八、其他</w:t>
      </w:r>
      <w:r/>
    </w:p>
    <w:p>
      <w:pPr>
        <w:ind w:firstLine="480"/>
        <w:jc w:val="left"/>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bCs/>
          <w:sz w:val="24"/>
          <w:szCs w:val="24"/>
        </w:rPr>
        <w:t xml:space="preserve"> 根据省财政厅《关于更换全省政府采购交易系统CA数字证书和电子签章的通知》（苏财购〔2023〕101号），</w:t>
      </w:r>
      <w:r>
        <w:rPr>
          <w:rFonts w:hint="eastAsia" w:asciiTheme="minorEastAsia" w:hAnsiTheme="minorEastAsia" w:eastAsiaTheme="minorEastAsia" w:cstheme="minorEastAsia"/>
          <w:sz w:val="24"/>
          <w:szCs w:val="24"/>
        </w:rPr>
        <w:t xml:space="preserve">“苏采云”政府采购交易系统（以下简称苏采云系统）</w:t>
      </w:r>
      <w:r>
        <w:rPr>
          <w:rFonts w:hint="eastAsia" w:asciiTheme="minorEastAsia" w:hAnsiTheme="minorEastAsia" w:eastAsiaTheme="minorEastAsia" w:cstheme="minorEastAsia"/>
          <w:bCs/>
          <w:sz w:val="24"/>
          <w:szCs w:val="24"/>
        </w:rPr>
        <w:t xml:space="preserve">的CA数字证书、电子签章已更换为江苏省电子政务证书认证中心C A和方正国际软件（北京）有限公司电子签章。如果投标人通过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 有关本次招标的事项若存在变动或修改，敬请及时关注常州市教育基本建设与装备管理中心在“江苏政府采购网”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bCs/>
          <w:sz w:val="24"/>
          <w:szCs w:val="24"/>
        </w:rPr>
        <w:t xml:space="preserve">发布的更正公告。</w:t>
      </w:r>
      <w:r/>
    </w:p>
    <w:p>
      <w:pPr>
        <w:ind w:firstLine="480"/>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 本次招标不收取投标保证金。</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2"/>
      <w:bookmarkEnd w:id="3"/>
      <w:bookmarkEnd w:id="4"/>
      <w:bookmarkEnd w:id="5"/>
      <w:bookmarkEnd w:id="6"/>
      <w:r/>
    </w:p>
    <w:p>
      <w:pPr>
        <w:pStyle w:val="929"/>
        <w:ind w:firstLine="2429"/>
        <w:jc w:val="both"/>
        <w:rPr>
          <w:rFonts w:hint="eastAsia" w:asciiTheme="minorEastAsia" w:hAnsiTheme="minorEastAsia" w:eastAsiaTheme="minorEastAsia" w:cstheme="minorEastAsia"/>
          <w:b w:val="0"/>
          <w:bCs w:val="0"/>
        </w:rPr>
        <w:outlineLvl w:val="0"/>
      </w:pPr>
      <w:r/>
      <w:bookmarkStart w:id="45" w:name="_Toc120614211"/>
      <w:r/>
      <w:bookmarkStart w:id="46" w:name="_Toc6429"/>
      <w:r/>
      <w:bookmarkStart w:id="47" w:name="_Toc479757207"/>
      <w:r/>
      <w:bookmarkStart w:id="48" w:name="_Toc120614221"/>
      <w:r/>
      <w:bookmarkStart w:id="49" w:name="_Toc16938558"/>
      <w:r/>
      <w:bookmarkStart w:id="50" w:name="_Toc20823314"/>
      <w:r/>
      <w:bookmarkStart w:id="51" w:name="_Toc513029242"/>
      <w:r>
        <w:rPr>
          <w:rFonts w:hint="eastAsia" w:asciiTheme="minorEastAsia" w:hAnsiTheme="minorEastAsia" w:eastAsiaTheme="minorEastAsia" w:cstheme="minorEastAsia"/>
        </w:rPr>
        <w:t xml:space="preserve">第二章  </w:t>
      </w:r>
      <w:bookmarkEnd w:id="45"/>
      <w:r/>
      <w:bookmarkStart w:id="52" w:name="_Toc513029202"/>
      <w:r/>
      <w:bookmarkStart w:id="53" w:name="_Toc20823274"/>
      <w:r/>
      <w:bookmarkStart w:id="54" w:name="_Toc120614213"/>
      <w:r/>
      <w:bookmarkStart w:id="55" w:name="_Toc16938518"/>
      <w:r>
        <w:rPr>
          <w:rFonts w:hint="eastAsia" w:asciiTheme="minorEastAsia" w:hAnsiTheme="minorEastAsia" w:eastAsiaTheme="minorEastAsia" w:cstheme="minorEastAsia"/>
        </w:rPr>
        <w:t xml:space="preserve">投标人须知</w:t>
      </w:r>
      <w:bookmarkEnd w:id="46"/>
      <w:r/>
      <w:bookmarkEnd w:id="52"/>
      <w:r/>
      <w:bookmarkEnd w:id="53"/>
      <w:r/>
      <w:bookmarkEnd w:id="54"/>
      <w:r/>
      <w:bookmarkEnd w:id="55"/>
      <w:r/>
      <w:r/>
    </w:p>
    <w:p>
      <w:pPr>
        <w:pStyle w:val="933"/>
        <w:ind w:firstLine="498"/>
        <w:spacing w:before="156" w:after="156" w:line="360" w:lineRule="auto"/>
        <w:rPr>
          <w:rFonts w:hint="eastAsia" w:asciiTheme="minorEastAsia" w:hAnsiTheme="minorEastAsia" w:eastAsiaTheme="minorEastAsia" w:cstheme="minorEastAsia"/>
        </w:rPr>
      </w:pPr>
      <w:r/>
      <w:bookmarkStart w:id="56" w:name="_Toc16938519"/>
      <w:r/>
      <w:bookmarkStart w:id="57" w:name="_Toc120614214"/>
      <w:r/>
      <w:bookmarkStart w:id="58" w:name="_Toc20823275"/>
      <w:r/>
      <w:bookmarkStart w:id="59" w:name="_Toc513029203"/>
      <w:r>
        <w:rPr>
          <w:rFonts w:hint="eastAsia" w:asciiTheme="minorEastAsia" w:hAnsiTheme="minorEastAsia" w:eastAsiaTheme="minorEastAsia" w:cstheme="minorEastAsia"/>
        </w:rPr>
        <w:t xml:space="preserve">一、总则</w:t>
      </w:r>
      <w:bookmarkEnd w:id="56"/>
      <w:r/>
      <w:bookmarkEnd w:id="57"/>
      <w:r/>
      <w:bookmarkEnd w:id="58"/>
      <w:r/>
      <w:bookmarkEnd w:id="59"/>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60" w:name="_Hlt16619475"/>
      <w:r/>
      <w:bookmarkEnd w:id="60"/>
      <w:r/>
      <w:bookmarkStart w:id="61" w:name="_Toc458694821"/>
      <w:r/>
      <w:bookmarkStart w:id="62" w:name="_Toc513029204"/>
      <w:r/>
      <w:bookmarkStart w:id="63" w:name="_Toc16938520"/>
      <w:r/>
      <w:bookmarkStart w:id="64" w:name="_Toc20823276"/>
      <w:r>
        <w:rPr>
          <w:rFonts w:hint="eastAsia" w:asciiTheme="minorEastAsia" w:hAnsiTheme="minorEastAsia" w:eastAsiaTheme="minorEastAsia" w:cstheme="minorEastAsia"/>
          <w:b w:val="0"/>
          <w:bCs w:val="0"/>
        </w:rPr>
        <w:t xml:space="preserve">1</w:t>
      </w:r>
      <w:bookmarkEnd w:id="61"/>
      <w:r>
        <w:rPr>
          <w:rFonts w:hint="eastAsia" w:asciiTheme="minorEastAsia" w:hAnsiTheme="minorEastAsia" w:eastAsiaTheme="minorEastAsia" w:cstheme="minorEastAsia"/>
          <w:b w:val="0"/>
          <w:bCs w:val="0"/>
        </w:rPr>
        <w:t xml:space="preserve">、招标方式</w:t>
      </w:r>
      <w:bookmarkEnd w:id="62"/>
      <w:r/>
      <w:bookmarkEnd w:id="63"/>
      <w:r/>
      <w:bookmarkEnd w:id="64"/>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本次招标采取公开招标方式，本招标文件仅适用于招标公告中所述项目。</w:t>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65" w:name="_Toc513029205"/>
      <w:r/>
      <w:bookmarkStart w:id="66" w:name="_Toc16938521"/>
      <w:r/>
      <w:bookmarkStart w:id="67" w:name="_Toc20823277"/>
      <w:r>
        <w:rPr>
          <w:rFonts w:hint="eastAsia" w:asciiTheme="minorEastAsia" w:hAnsiTheme="minorEastAsia" w:eastAsiaTheme="minorEastAsia" w:cstheme="minorEastAsia"/>
          <w:b w:val="0"/>
          <w:bCs w:val="0"/>
        </w:rPr>
        <w:t xml:space="preserve">2、合格的投标人</w:t>
      </w:r>
      <w:bookmarkEnd w:id="65"/>
      <w:r/>
      <w:bookmarkEnd w:id="66"/>
      <w:r/>
      <w:bookmarkEnd w:id="67"/>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2.1满足招标公告中供应商的资格要求的规定。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满足本文件实质性要求和条件的规定。</w:t>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68" w:name="_Toc513029206"/>
      <w:r/>
      <w:bookmarkStart w:id="69" w:name="_Toc20823278"/>
      <w:r/>
      <w:bookmarkStart w:id="70" w:name="_Toc16938522"/>
      <w:r>
        <w:rPr>
          <w:rFonts w:hint="eastAsia" w:asciiTheme="minorEastAsia" w:hAnsiTheme="minorEastAsia" w:eastAsiaTheme="minorEastAsia" w:cstheme="minorEastAsia"/>
          <w:b w:val="0"/>
          <w:bCs w:val="0"/>
        </w:rPr>
        <w:t xml:space="preserve">3、适用法律</w:t>
      </w:r>
      <w:bookmarkEnd w:id="68"/>
      <w:r/>
      <w:bookmarkEnd w:id="69"/>
      <w:r/>
      <w:bookmarkEnd w:id="70"/>
      <w:r>
        <w:rPr>
          <w:rFonts w:hint="eastAsia" w:asciiTheme="minorEastAsia" w:hAnsiTheme="minorEastAsia" w:eastAsiaTheme="minorEastAsia" w:cstheme="minorEastAsia"/>
          <w:b w:val="0"/>
          <w:bCs w:val="0"/>
        </w:rPr>
        <w:t xml:space="preserve">和标准</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本次招标及由此产生的合同受中华人民共和国有关的法律法规制约和保护。</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在本项目政府采购活动过程中，如果所执行的标准有更新的，按照最新标准执行。</w:t>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71" w:name="_Toc462564067"/>
      <w:r/>
      <w:bookmarkStart w:id="72" w:name="_Toc16938523"/>
      <w:r/>
      <w:bookmarkStart w:id="73" w:name="_Toc513029207"/>
      <w:r/>
      <w:bookmarkStart w:id="74" w:name="_Toc20823279"/>
      <w:r>
        <w:rPr>
          <w:rFonts w:hint="eastAsia" w:asciiTheme="minorEastAsia" w:hAnsiTheme="minorEastAsia" w:eastAsiaTheme="minorEastAsia" w:cstheme="minorEastAsia"/>
          <w:b w:val="0"/>
          <w:bCs w:val="0"/>
        </w:rPr>
        <w:t xml:space="preserve">4、投标费用</w:t>
      </w:r>
      <w:bookmarkEnd w:id="71"/>
      <w:r/>
      <w:bookmarkEnd w:id="72"/>
      <w:r/>
      <w:bookmarkEnd w:id="73"/>
      <w:r/>
      <w:bookmarkEnd w:id="74"/>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4.1</w:t>
      </w:r>
      <w:r>
        <w:rPr>
          <w:rFonts w:hint="eastAsia" w:asciiTheme="minorEastAsia" w:hAnsiTheme="minorEastAsia" w:eastAsiaTheme="minorEastAsia" w:cstheme="minorEastAsia"/>
          <w:sz w:val="24"/>
        </w:rPr>
        <w:t xml:space="preserve"> 投标人应自行承担所有与参加投标有关的费用，无论投标过程中的做法和结果如何，常州市教育基本建设与装备管理中心（以下简称建装中心）在任何情况下均无义务和责任承担这些费用。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4.2本次招标建装中心和采购人不收取标书工本费与中标服务费。</w:t>
      </w:r>
      <w:r/>
    </w:p>
    <w:p>
      <w:pPr>
        <w:pStyle w:val="935"/>
        <w:ind w:firstLine="602"/>
        <w:spacing w:before="0" w:after="0" w:line="480" w:lineRule="exact"/>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sz w:val="30"/>
        </w:rPr>
        <w:t xml:space="preserve">5、</w:t>
      </w:r>
      <w:r>
        <w:rPr>
          <w:rFonts w:hint="eastAsia" w:asciiTheme="minorEastAsia" w:hAnsiTheme="minorEastAsia" w:eastAsiaTheme="minorEastAsia" w:cstheme="minorEastAsia"/>
          <w:b w:val="0"/>
          <w:bCs w:val="0"/>
        </w:rPr>
        <w:t xml:space="preserve">招标文件的约束力</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 投标人一旦参加本项目采购活动，即被认为接受了本招标文件的规定和约束。</w:t>
      </w:r>
      <w:r/>
    </w:p>
    <w:p>
      <w:pPr>
        <w:pStyle w:val="933"/>
        <w:ind w:firstLine="321"/>
        <w:spacing w:before="156" w:after="156" w:line="360" w:lineRule="auto"/>
        <w:rPr>
          <w:rFonts w:hint="eastAsia" w:asciiTheme="minorEastAsia" w:hAnsiTheme="minorEastAsia" w:eastAsiaTheme="minorEastAsia" w:cstheme="minorEastAsia"/>
        </w:rPr>
      </w:pPr>
      <w:r/>
      <w:bookmarkStart w:id="75" w:name="_Toc120614215"/>
      <w:r/>
      <w:bookmarkStart w:id="76" w:name="_Toc20823281"/>
      <w:r/>
      <w:bookmarkStart w:id="77" w:name="_Toc513029209"/>
      <w:r/>
      <w:bookmarkStart w:id="78" w:name="_Toc16938525"/>
      <w:r>
        <w:rPr>
          <w:rFonts w:hint="eastAsia" w:asciiTheme="minorEastAsia" w:hAnsiTheme="minorEastAsia" w:eastAsiaTheme="minorEastAsia" w:cstheme="minorEastAsia"/>
        </w:rPr>
        <w:t xml:space="preserve">二、招标文件</w:t>
      </w:r>
      <w:bookmarkEnd w:id="75"/>
      <w:r/>
      <w:bookmarkEnd w:id="76"/>
      <w:r/>
      <w:bookmarkEnd w:id="77"/>
      <w:r/>
      <w:bookmarkEnd w:id="78"/>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79" w:name="_Toc20823282"/>
      <w:r/>
      <w:bookmarkStart w:id="80" w:name="_Toc16938526"/>
      <w:r/>
      <w:bookmarkStart w:id="81" w:name="_Toc513029210"/>
      <w:r>
        <w:rPr>
          <w:rFonts w:hint="eastAsia" w:asciiTheme="minorEastAsia" w:hAnsiTheme="minorEastAsia" w:eastAsiaTheme="minorEastAsia" w:cstheme="minorEastAsia"/>
          <w:b w:val="0"/>
          <w:bCs w:val="0"/>
        </w:rPr>
        <w:t xml:space="preserve">6、招标文件构成</w:t>
      </w:r>
      <w:bookmarkEnd w:id="79"/>
      <w:r/>
      <w:bookmarkEnd w:id="80"/>
      <w:r/>
      <w:bookmarkEnd w:id="81"/>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6.1</w:t>
      </w:r>
      <w:r>
        <w:rPr>
          <w:rFonts w:hint="eastAsia" w:asciiTheme="minorEastAsia" w:hAnsiTheme="minorEastAsia" w:eastAsiaTheme="minorEastAsia" w:cstheme="minorEastAsia"/>
          <w:sz w:val="24"/>
        </w:rPr>
        <w:t xml:space="preserve"> 招标文件由以下部分组成：</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（5）评标方法与评标标准</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请仔细检查招标文件是否齐全，如有缺漏请立即与建装中心联系解决。</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6.2</w:t>
      </w:r>
      <w:r>
        <w:rPr>
          <w:rFonts w:hint="eastAsia" w:asciiTheme="minorEastAsia" w:hAnsiTheme="minorEastAsia" w:eastAsiaTheme="minorEastAsia" w:cstheme="minor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5"/>
        <w:ind w:firstLine="560"/>
        <w:spacing w:before="0" w:after="0" w:line="240" w:lineRule="auto"/>
        <w:rPr>
          <w:rFonts w:hint="eastAsia" w:asciiTheme="minorEastAsia" w:hAnsiTheme="minorEastAsia" w:eastAsiaTheme="minorEastAsia" w:cstheme="minorEastAsia"/>
          <w:b w:val="0"/>
          <w:bCs w:val="0"/>
        </w:rPr>
      </w:pPr>
      <w:r/>
      <w:bookmarkStart w:id="82" w:name="_Toc16938527"/>
      <w:r/>
      <w:bookmarkStart w:id="83" w:name="_Toc462564070"/>
      <w:r/>
      <w:bookmarkStart w:id="84" w:name="_Toc513029211"/>
      <w:r/>
      <w:bookmarkStart w:id="85" w:name="_Toc20823283"/>
      <w:r>
        <w:rPr>
          <w:rFonts w:hint="eastAsia" w:asciiTheme="minorEastAsia" w:hAnsiTheme="minorEastAsia" w:eastAsiaTheme="minorEastAsia" w:cstheme="minorEastAsia"/>
          <w:b w:val="0"/>
          <w:bCs w:val="0"/>
        </w:rPr>
        <w:t xml:space="preserve">7、招标文件的澄清</w:t>
      </w:r>
      <w:bookmarkEnd w:id="82"/>
      <w:r/>
      <w:bookmarkEnd w:id="83"/>
      <w:r/>
      <w:bookmarkEnd w:id="84"/>
      <w:r/>
      <w:bookmarkEnd w:id="85"/>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7.1</w:t>
      </w:r>
      <w:r>
        <w:rPr>
          <w:rFonts w:hint="eastAsia" w:asciiTheme="minorEastAsia" w:hAnsiTheme="minorEastAsia" w:eastAsiaTheme="minorEastAsia" w:cstheme="minorEastAsia"/>
          <w:sz w:val="24"/>
        </w:rPr>
        <w:t xml:space="preserve"> 任何要求对招标文件进行澄清的投标人，应在投标截止期</w:t>
      </w:r>
      <w:r>
        <w:rPr>
          <w:rFonts w:hint="eastAsia" w:asciiTheme="minorEastAsia" w:hAnsiTheme="minorEastAsia" w:eastAsiaTheme="minorEastAsia" w:cstheme="minorEastAsia"/>
          <w:b/>
          <w:sz w:val="24"/>
          <w:szCs w:val="24"/>
        </w:rPr>
        <w:t xml:space="preserve">十日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rPr>
        <w:t xml:space="preserve">按招标公告中的通讯地址，以书面形式通知建装中心。</w:t>
      </w:r>
      <w:r/>
    </w:p>
    <w:p>
      <w:pPr>
        <w:pStyle w:val="935"/>
        <w:ind w:firstLine="560"/>
        <w:spacing w:before="0" w:after="0" w:line="240" w:lineRule="auto"/>
        <w:rPr>
          <w:rFonts w:hint="eastAsia" w:asciiTheme="minorEastAsia" w:hAnsiTheme="minorEastAsia" w:eastAsiaTheme="minorEastAsia" w:cstheme="minorEastAsia"/>
          <w:b w:val="0"/>
          <w:bCs w:val="0"/>
        </w:rPr>
      </w:pPr>
      <w:r/>
      <w:bookmarkStart w:id="86" w:name="_Toc20823284"/>
      <w:r/>
      <w:bookmarkStart w:id="87" w:name="_Toc513029212"/>
      <w:r/>
      <w:bookmarkStart w:id="88" w:name="_Toc16938528"/>
      <w:r/>
      <w:bookmarkStart w:id="89" w:name="_Toc462564071"/>
      <w:r>
        <w:rPr>
          <w:rFonts w:hint="eastAsia" w:asciiTheme="minorEastAsia" w:hAnsiTheme="minorEastAsia" w:eastAsiaTheme="minorEastAsia" w:cstheme="minorEastAsia"/>
          <w:b w:val="0"/>
          <w:bCs w:val="0"/>
        </w:rPr>
        <w:t xml:space="preserve">8、招标文件的修改</w:t>
      </w:r>
      <w:bookmarkEnd w:id="86"/>
      <w:r/>
      <w:bookmarkEnd w:id="87"/>
      <w:r/>
      <w:bookmarkEnd w:id="88"/>
      <w:r/>
      <w:bookmarkEnd w:id="89"/>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8.1</w:t>
      </w:r>
      <w:r>
        <w:rPr>
          <w:rFonts w:hint="eastAsia" w:asciiTheme="minorEastAsia" w:hAnsiTheme="minorEastAsia" w:eastAsiaTheme="minorEastAsia" w:cstheme="minorEastAsia"/>
          <w:sz w:val="24"/>
        </w:rPr>
        <w:t xml:space="preserve"> 在投标截止时间前，建装中心可以对招标文件进行修改。</w:t>
      </w:r>
      <w:r/>
    </w:p>
    <w:p>
      <w:pPr>
        <w:ind w:firstLine="480"/>
        <w:spacing w:line="50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bCs/>
          <w:sz w:val="24"/>
        </w:rPr>
        <w:t xml:space="preserve">8.2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有权按照法定的要求</w:t>
      </w:r>
      <w:r>
        <w:rPr>
          <w:rFonts w:hint="eastAsia" w:asciiTheme="minorEastAsia" w:hAnsiTheme="minorEastAsia" w:eastAsiaTheme="minorEastAsia" w:cstheme="minorEastAsia"/>
          <w:sz w:val="24"/>
        </w:rPr>
        <w:t xml:space="preserve">推迟投标截止日期和开标日期。</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8.3 </w:t>
      </w:r>
      <w:r>
        <w:rPr>
          <w:rFonts w:hint="eastAsia" w:asciiTheme="minorEastAsia" w:hAnsiTheme="minorEastAsia" w:eastAsiaTheme="minorEastAsia" w:cstheme="minorEastAsia"/>
          <w:sz w:val="24"/>
        </w:rPr>
        <w:t xml:space="preserve">招标文件的修改将在江苏政府采购网、常州市政府采购网公布，</w:t>
      </w:r>
      <w:r>
        <w:rPr>
          <w:rFonts w:hint="eastAsia" w:asciiTheme="minorEastAsia" w:hAnsiTheme="minorEastAsia" w:eastAsiaTheme="minorEastAsia" w:cstheme="minorEastAsia"/>
          <w:sz w:val="24"/>
          <w:szCs w:val="24"/>
        </w:rPr>
        <w:t xml:space="preserve">补充文件将作为招标文件的组成部分，</w:t>
      </w:r>
      <w:r>
        <w:rPr>
          <w:rFonts w:hint="eastAsia" w:asciiTheme="minorEastAsia" w:hAnsiTheme="minorEastAsia" w:eastAsiaTheme="minorEastAsia" w:cstheme="minorEastAsia"/>
          <w:sz w:val="24"/>
        </w:rPr>
        <w:t xml:space="preserve">并对投标人具有约束力。</w:t>
      </w:r>
      <w:r/>
    </w:p>
    <w:p>
      <w:pPr>
        <w:pStyle w:val="933"/>
        <w:ind w:firstLine="482"/>
        <w:spacing w:before="156" w:after="156" w:line="360" w:lineRule="auto"/>
        <w:rPr>
          <w:rFonts w:hint="eastAsia" w:asciiTheme="minorEastAsia" w:hAnsiTheme="minorEastAsia" w:eastAsiaTheme="minorEastAsia" w:cstheme="minorEastAsia"/>
        </w:rPr>
      </w:pPr>
      <w:r/>
      <w:bookmarkStart w:id="90" w:name="_Toc16938529"/>
      <w:r/>
      <w:bookmarkStart w:id="91" w:name="_Toc462564072"/>
      <w:r/>
      <w:bookmarkStart w:id="92" w:name="_Toc120614216"/>
      <w:r/>
      <w:bookmarkStart w:id="93" w:name="_Toc20823285"/>
      <w:r/>
      <w:bookmarkStart w:id="94" w:name="_Toc513029213"/>
      <w:r>
        <w:rPr>
          <w:rFonts w:hint="eastAsia" w:asciiTheme="minorEastAsia" w:hAnsiTheme="minorEastAsia" w:eastAsiaTheme="minorEastAsia" w:cstheme="minorEastAsia"/>
        </w:rPr>
        <w:t xml:space="preserve">三、投标文件的编制</w:t>
      </w:r>
      <w:bookmarkEnd w:id="90"/>
      <w:r/>
      <w:bookmarkEnd w:id="91"/>
      <w:r/>
      <w:bookmarkEnd w:id="92"/>
      <w:r/>
      <w:bookmarkEnd w:id="93"/>
      <w:r/>
      <w:bookmarkEnd w:id="94"/>
      <w:r/>
      <w:r/>
    </w:p>
    <w:p>
      <w:pPr>
        <w:pStyle w:val="935"/>
        <w:ind w:firstLine="560"/>
        <w:spacing w:before="0" w:after="0" w:line="240" w:lineRule="auto"/>
        <w:rPr>
          <w:rFonts w:hint="eastAsia" w:asciiTheme="minorEastAsia" w:hAnsiTheme="minorEastAsia" w:eastAsiaTheme="minorEastAsia" w:cstheme="minorEastAsia"/>
          <w:bCs w:val="0"/>
        </w:rPr>
      </w:pPr>
      <w:r/>
      <w:bookmarkStart w:id="95" w:name="_Toc462564073"/>
      <w:r/>
      <w:bookmarkStart w:id="96" w:name="_Toc513029214"/>
      <w:r/>
      <w:bookmarkStart w:id="97" w:name="_Toc20823286"/>
      <w:r/>
      <w:bookmarkStart w:id="98" w:name="_Toc16938530"/>
      <w:r>
        <w:rPr>
          <w:rFonts w:hint="eastAsia" w:asciiTheme="minorEastAsia" w:hAnsiTheme="minorEastAsia" w:eastAsiaTheme="minorEastAsia" w:cstheme="minorEastAsia"/>
          <w:b w:val="0"/>
          <w:bCs w:val="0"/>
        </w:rPr>
        <w:t xml:space="preserve">9、投标文件的语言及度量衡单位</w:t>
      </w:r>
      <w:bookmarkEnd w:id="95"/>
      <w:r/>
      <w:bookmarkEnd w:id="96"/>
      <w:r/>
      <w:bookmarkEnd w:id="97"/>
      <w:r/>
      <w:bookmarkEnd w:id="98"/>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9.1</w:t>
      </w:r>
      <w:r>
        <w:rPr>
          <w:rFonts w:hint="eastAsia" w:asciiTheme="minorEastAsia" w:hAnsiTheme="minorEastAsia" w:eastAsiaTheme="minorEastAsia" w:cstheme="minorEastAsia"/>
          <w:sz w:val="24"/>
        </w:rPr>
        <w:t xml:space="preserve"> 投标人提交的投标文件以及投标人与建装中心就有关投标的所有来往通知、函件和文件均应使用</w:t>
      </w:r>
      <w:r>
        <w:rPr>
          <w:rFonts w:hint="eastAsia" w:asciiTheme="minorEastAsia" w:hAnsiTheme="minorEastAsia" w:eastAsiaTheme="minorEastAsia" w:cstheme="minorEastAsia"/>
          <w:b/>
          <w:bCs/>
          <w:sz w:val="24"/>
        </w:rPr>
        <w:t xml:space="preserve">简体中文</w:t>
      </w:r>
      <w:r>
        <w:rPr>
          <w:rFonts w:hint="eastAsia" w:asciiTheme="minorEastAsia" w:hAnsiTheme="minorEastAsia" w:eastAsiaTheme="minorEastAsia" w:cstheme="minorEastAsia"/>
          <w:sz w:val="24"/>
        </w:rPr>
        <w:t xml:space="preserve">。</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9.2</w:t>
      </w:r>
      <w:r>
        <w:rPr>
          <w:rFonts w:hint="eastAsia" w:asciiTheme="minorEastAsia" w:hAnsiTheme="minorEastAsia" w:eastAsiaTheme="minorEastAsia" w:cstheme="minorEastAsia"/>
          <w:sz w:val="24"/>
        </w:rPr>
        <w:t xml:space="preserve"> 除技术性能另有规定外，投标文件所使用的度量衡单位，均须采用国家法定计量单位。</w:t>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99" w:name="_Toc513029215"/>
      <w:r/>
      <w:bookmarkStart w:id="100" w:name="_Toc462564074"/>
      <w:r/>
      <w:bookmarkStart w:id="101" w:name="_Toc16938531"/>
      <w:r/>
      <w:bookmarkStart w:id="102" w:name="_Toc20823287"/>
      <w:r>
        <w:rPr>
          <w:rFonts w:hint="eastAsia" w:asciiTheme="minorEastAsia" w:hAnsiTheme="minorEastAsia" w:eastAsiaTheme="minorEastAsia" w:cstheme="minorEastAsia"/>
          <w:b w:val="0"/>
          <w:bCs w:val="0"/>
        </w:rPr>
        <w:t xml:space="preserve">10、投标文件构成</w:t>
      </w:r>
      <w:bookmarkEnd w:id="99"/>
      <w:r/>
      <w:bookmarkEnd w:id="100"/>
      <w:r/>
      <w:bookmarkEnd w:id="101"/>
      <w:r/>
      <w:bookmarkEnd w:id="102"/>
      <w:r/>
      <w:r/>
    </w:p>
    <w:p>
      <w:pPr>
        <w:ind w:firstLine="480"/>
        <w:spacing w:line="360" w:lineRule="auto"/>
        <w:tabs>
          <w:tab w:val="left" w:pos="1080" w:leader="none"/>
          <w:tab w:val="left" w:pos="1589" w:leader="none"/>
          <w:tab w:val="left" w:pos="2014"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10.1本项目如划分采购包，投标人可以对本项目的其中一个采购包进行投标，也可同时对多个采购包进行投标。</w:t>
      </w:r>
      <w:r>
        <w:rPr>
          <w:rFonts w:hint="eastAsia" w:asciiTheme="minorEastAsia" w:hAnsiTheme="minorEastAsia" w:eastAsiaTheme="minorEastAsia" w:cstheme="minorEastAsia"/>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10.3如标书制作工具中格式和内容与“江苏政府采购网”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发布的招标文件不一致，请以“江苏政府采购网”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发布的招标文件为准。</w:t>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103" w:name="_Hlt26668975"/>
      <w:r/>
      <w:bookmarkEnd w:id="103"/>
      <w:r/>
      <w:bookmarkStart w:id="104" w:name="_Hlt26954838"/>
      <w:r/>
      <w:bookmarkEnd w:id="104"/>
      <w:r/>
      <w:bookmarkStart w:id="105" w:name="_Hlt26670360"/>
      <w:r/>
      <w:bookmarkEnd w:id="105"/>
      <w:r/>
      <w:bookmarkStart w:id="106" w:name="_Toc49090509"/>
      <w:r/>
      <w:bookmarkStart w:id="107" w:name="_Toc14577357"/>
      <w:r/>
      <w:bookmarkStart w:id="108" w:name="_Toc513029219"/>
      <w:r/>
      <w:bookmarkStart w:id="109" w:name="_Toc49090507"/>
      <w:r/>
      <w:bookmarkStart w:id="110" w:name="_Toc14577354"/>
      <w:r/>
      <w:bookmarkStart w:id="111" w:name="_Toc513029216"/>
      <w:r>
        <w:rPr>
          <w:rFonts w:hint="eastAsia" w:asciiTheme="minorEastAsia" w:hAnsiTheme="minorEastAsia" w:eastAsiaTheme="minorEastAsia" w:cstheme="minorEastAsia"/>
          <w:b w:val="0"/>
          <w:bCs w:val="0"/>
        </w:rPr>
        <w:t xml:space="preserve">11、证明投标人及投标标的符合招标文件规定的文件</w:t>
      </w:r>
      <w:bookmarkEnd w:id="106"/>
      <w:r/>
      <w:bookmarkEnd w:id="107"/>
      <w:r/>
      <w:bookmarkEnd w:id="108"/>
      <w:r/>
      <w:bookmarkEnd w:id="109"/>
      <w:bookmarkEnd w:id="110"/>
      <w:bookmarkEnd w:id="111"/>
      <w:r/>
    </w:p>
    <w:p>
      <w:pPr>
        <w:spacing w:line="480" w:lineRule="exact"/>
        <w:rPr>
          <w:rFonts w:hint="eastAsia" w:asciiTheme="minorEastAsia" w:hAnsiTheme="minorEastAsia" w:eastAsiaTheme="minorEastAsia" w:cstheme="minorEastAsia"/>
          <w:sz w:val="24"/>
          <w:szCs w:val="24"/>
        </w:rPr>
      </w:pPr>
      <w:r/>
      <w:bookmarkStart w:id="112" w:name="_Toc14577355"/>
      <w:r/>
      <w:bookmarkStart w:id="113" w:name="_Toc49090508"/>
      <w:r>
        <w:rPr>
          <w:rFonts w:hint="eastAsia" w:asciiTheme="minorEastAsia" w:hAnsiTheme="minorEastAsia" w:eastAsiaTheme="minorEastAsia" w:cstheme="minorEastAsia"/>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11.2招标文件对证明文件无明确形式要求的，证明文件可以以文字资料、图纸和数据等形式提交。</w:t>
      </w:r>
      <w:r/>
    </w:p>
    <w:p>
      <w:pPr>
        <w:pStyle w:val="935"/>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12、投标分项报价</w:t>
      </w:r>
      <w:bookmarkEnd w:id="112"/>
      <w:r/>
      <w:bookmarkStart w:id="114" w:name="_Hlt26670373"/>
      <w:r/>
      <w:bookmarkEnd w:id="114"/>
      <w:r>
        <w:rPr>
          <w:rFonts w:hint="eastAsia" w:asciiTheme="minorEastAsia" w:hAnsiTheme="minorEastAsia" w:eastAsiaTheme="minorEastAsia" w:cstheme="minorEastAsia"/>
          <w:b w:val="0"/>
          <w:bCs w:val="0"/>
        </w:rPr>
        <w:t xml:space="preserve">表</w:t>
      </w:r>
      <w:bookmarkEnd w:id="113"/>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12.1</w:t>
      </w:r>
      <w:r>
        <w:rPr>
          <w:rFonts w:hint="eastAsia" w:asciiTheme="minorEastAsia" w:hAnsiTheme="minorEastAsia" w:eastAsiaTheme="minorEastAsia" w:cstheme="minorEastAsia"/>
          <w:sz w:val="24"/>
        </w:rPr>
        <w:t xml:space="preserve"> 投</w:t>
      </w:r>
      <w:bookmarkStart w:id="115" w:name="_Hlt26954840"/>
      <w:r/>
      <w:bookmarkEnd w:id="115"/>
      <w:r>
        <w:rPr>
          <w:rFonts w:hint="eastAsia" w:asciiTheme="minorEastAsia" w:hAnsiTheme="minorEastAsia" w:eastAsiaTheme="minorEastAsia" w:cstheme="minorEastAsia"/>
          <w:sz w:val="24"/>
        </w:rPr>
        <w:t xml:space="preserve">标人应按照招标文件规定格式填报投标分项报价表</w:t>
      </w:r>
      <w:bookmarkStart w:id="116" w:name="_Hlt26670399"/>
      <w:r/>
      <w:bookmarkEnd w:id="116"/>
      <w:r>
        <w:rPr>
          <w:rFonts w:hint="eastAsia" w:asciiTheme="minorEastAsia" w:hAnsiTheme="minorEastAsia" w:eastAsiaTheme="minorEastAsia" w:cstheme="minorEastAsia"/>
          <w:sz w:val="24"/>
        </w:rPr>
        <w:t xml:space="preserve">。</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12.2</w:t>
      </w:r>
      <w:r>
        <w:rPr>
          <w:rFonts w:hint="eastAsia" w:asciiTheme="minorEastAsia" w:hAnsiTheme="minorEastAsia" w:eastAsiaTheme="minorEastAsia" w:cstheme="minorEastAsia"/>
          <w:bCs/>
          <w:sz w:val="24"/>
        </w:rPr>
        <w:t xml:space="preserve">投标货币。投标文件中的单价和总价无特殊规定的采用人民币报价，以元为单位标注。</w:t>
      </w:r>
      <w:r>
        <w:rPr>
          <w:rFonts w:hint="eastAsia" w:asciiTheme="minorEastAsia" w:hAnsiTheme="minorEastAsia" w:eastAsiaTheme="minorEastAsia" w:cstheme="minorEastAsia"/>
          <w:sz w:val="24"/>
        </w:rPr>
        <w:t xml:space="preserve">招标文件中另有规定的按规定执行。</w:t>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117" w:name="_Hlt26668983"/>
      <w:r/>
      <w:bookmarkEnd w:id="117"/>
      <w:r/>
      <w:bookmarkStart w:id="118" w:name="_Hlt26670486"/>
      <w:r/>
      <w:bookmarkEnd w:id="118"/>
      <w:r/>
      <w:bookmarkStart w:id="119" w:name="_Hlt26954842"/>
      <w:r/>
      <w:bookmarkEnd w:id="119"/>
      <w:r/>
      <w:bookmarkStart w:id="120" w:name="_Hlt26670425"/>
      <w:r/>
      <w:bookmarkEnd w:id="120"/>
      <w:r/>
      <w:bookmarkStart w:id="121" w:name="_Hlt26954846"/>
      <w:r/>
      <w:bookmarkEnd w:id="121"/>
      <w:r/>
      <w:bookmarkStart w:id="122" w:name="_Hlt26954731"/>
      <w:r/>
      <w:bookmarkEnd w:id="122"/>
      <w:r/>
      <w:bookmarkStart w:id="123" w:name="_Hlt26954844"/>
      <w:r/>
      <w:bookmarkEnd w:id="123"/>
      <w:r/>
      <w:bookmarkStart w:id="124" w:name="_Hlt26954848"/>
      <w:r/>
      <w:bookmarkEnd w:id="124"/>
      <w:r/>
      <w:bookmarkStart w:id="125" w:name="_Hlt26670403"/>
      <w:r/>
      <w:bookmarkEnd w:id="125"/>
      <w:r/>
      <w:bookmarkStart w:id="126" w:name="_Hlt26670482"/>
      <w:r/>
      <w:bookmarkEnd w:id="126"/>
      <w:r>
        <w:rPr>
          <w:rFonts w:hint="eastAsia" w:asciiTheme="minorEastAsia" w:hAnsiTheme="minorEastAsia" w:eastAsiaTheme="minorEastAsia" w:cstheme="minorEastAsia"/>
          <w:b w:val="0"/>
          <w:bCs w:val="0"/>
        </w:rPr>
        <w:t xml:space="preserve">13.1、技术要求响应及偏离表、商务要求响应及偏离表</w:t>
      </w:r>
      <w:r/>
    </w:p>
    <w:p>
      <w:pPr>
        <w:ind w:firstLine="480"/>
        <w:spacing w:line="50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bCs/>
          <w:sz w:val="24"/>
          <w:lang w:val="zh-CN"/>
        </w:rPr>
        <w:t xml:space="preserve">13.1.1</w:t>
      </w:r>
      <w:r>
        <w:rPr>
          <w:rFonts w:hint="eastAsia" w:asciiTheme="minorEastAsia" w:hAnsiTheme="minorEastAsia" w:eastAsiaTheme="minorEastAsia" w:cstheme="minorEastAsia"/>
          <w:sz w:val="24"/>
          <w:lang w:val="zh-CN"/>
        </w:rPr>
        <w:t xml:space="preserve"> 投标人需对招标文件中的技术要求与商务要求逐项作出响应或偏离，并说明原因。</w:t>
      </w:r>
      <w:r/>
    </w:p>
    <w:p>
      <w:pPr>
        <w:ind w:firstLine="480"/>
        <w:keepLines/>
        <w:keepNext/>
        <w:rPr>
          <w:rFonts w:hint="eastAsia" w:asciiTheme="minorEastAsia" w:hAnsiTheme="minorEastAsia" w:eastAsiaTheme="minorEastAsia" w:cstheme="minorEastAsia"/>
          <w:sz w:val="24"/>
          <w:lang w:val="zh-CN"/>
        </w:rPr>
        <w:outlineLvl w:val="3"/>
      </w:pPr>
      <w:r>
        <w:rPr>
          <w:rFonts w:hint="eastAsia" w:asciiTheme="minorEastAsia" w:hAnsiTheme="minorEastAsia" w:eastAsiaTheme="minorEastAsia" w:cstheme="minorEastAsia"/>
          <w:sz w:val="24"/>
          <w:lang w:val="zh-CN"/>
        </w:rPr>
        <w:t xml:space="preserve">13.1.2 投标人可在投标文件中提供认为需要的其他技术文件或说明。</w:t>
      </w:r>
      <w:r/>
    </w:p>
    <w:p>
      <w:pPr>
        <w:ind w:firstLine="420"/>
        <w:keepLines/>
        <w:keepNex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13.2、服务承诺、培训计划、人员安排及其他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bCs/>
          <w:sz w:val="24"/>
          <w:szCs w:val="24"/>
        </w:rPr>
        <w:t xml:space="preserve">1 </w:t>
      </w:r>
      <w:r>
        <w:rPr>
          <w:rFonts w:hint="eastAsia" w:asciiTheme="minorEastAsia" w:hAnsiTheme="minorEastAsia" w:eastAsiaTheme="minorEastAsia" w:cstheme="minor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2 投标人需根据招标文件要求提供培训计划。</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3  投标人需根据招标文件要求提供</w:t>
      </w:r>
      <w:r>
        <w:rPr>
          <w:rFonts w:hint="eastAsia" w:asciiTheme="minorEastAsia" w:hAnsiTheme="minorEastAsia" w:eastAsiaTheme="minorEastAsia" w:cstheme="minorEastAsia"/>
          <w:sz w:val="24"/>
          <w:lang w:val="zh-CN"/>
        </w:rPr>
        <w:t xml:space="preserve">所投标的的主要组成部分、功能设计、实现思路及关键技术等。</w:t>
      </w:r>
      <w:r/>
    </w:p>
    <w:p>
      <w:pPr>
        <w:ind w:firstLine="480"/>
        <w:spacing w:line="500" w:lineRule="exact"/>
        <w:tabs>
          <w:tab w:val="left" w:pos="103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127" w:name="_Toc14577359"/>
      <w:r/>
      <w:bookmarkStart w:id="128" w:name="_Toc49090510"/>
      <w:r>
        <w:rPr>
          <w:rFonts w:hint="eastAsia" w:asciiTheme="minorEastAsia" w:hAnsiTheme="minorEastAsia" w:eastAsiaTheme="minorEastAsia" w:cstheme="minorEastAsia"/>
          <w:b w:val="0"/>
          <w:bCs w:val="0"/>
        </w:rPr>
        <w:t xml:space="preserve">14、投标函和开标一览表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14.1</w:t>
      </w:r>
      <w:r>
        <w:rPr>
          <w:rFonts w:hint="eastAsia" w:asciiTheme="minorEastAsia" w:hAnsiTheme="minorEastAsia" w:eastAsiaTheme="minorEastAsia" w:cstheme="minorEastAsia"/>
          <w:sz w:val="24"/>
        </w:rPr>
        <w:t xml:space="preserve"> 投标人应按照招标文件中提供的格式完整、正确填写投标函、开标一览表。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14.2</w:t>
      </w:r>
      <w:r>
        <w:rPr>
          <w:rFonts w:hint="eastAsia" w:asciiTheme="minorEastAsia" w:hAnsiTheme="minorEastAsia" w:eastAsiaTheme="minorEastAsia" w:cstheme="minorEastAsia"/>
          <w:sz w:val="24"/>
        </w:rPr>
        <w:t xml:space="preserve"> 对于采用货币报价的项目，</w:t>
      </w:r>
      <w:r>
        <w:rPr>
          <w:rFonts w:hint="eastAsia" w:asciiTheme="minorEastAsia" w:hAnsiTheme="minorEastAsia" w:eastAsiaTheme="minorEastAsia" w:cstheme="minorEastAsia"/>
          <w:bCs/>
          <w:sz w:val="24"/>
        </w:rPr>
        <w:t xml:space="preserve">开标一览表中的投标总报价应与投标分项报价表中的投标总报价一致，如不一致，</w:t>
      </w:r>
      <w:r>
        <w:rPr>
          <w:rFonts w:hint="eastAsia" w:asciiTheme="minorEastAsia" w:hAnsiTheme="minorEastAsia" w:eastAsiaTheme="minorEastAsia" w:cstheme="minorEastAsia"/>
          <w:sz w:val="24"/>
          <w:szCs w:val="24"/>
        </w:rPr>
        <w:t xml:space="preserve">不作为无效投标处理</w:t>
      </w:r>
      <w:r>
        <w:rPr>
          <w:rFonts w:hint="eastAsia" w:asciiTheme="minorEastAsia" w:hAnsiTheme="minorEastAsia" w:eastAsiaTheme="minorEastAsia" w:cstheme="minorEastAsia"/>
          <w:bCs/>
          <w:sz w:val="24"/>
        </w:rPr>
        <w:t xml:space="preserve">，但评标时按开标一览表中价格为准</w:t>
      </w:r>
      <w:r>
        <w:rPr>
          <w:rFonts w:hint="eastAsia" w:asciiTheme="minorEastAsia" w:hAnsiTheme="minorEastAsia" w:eastAsiaTheme="minorEastAsia" w:cstheme="minorEastAsia"/>
          <w:b/>
          <w:bCs/>
          <w:sz w:val="24"/>
        </w:rPr>
        <w:t xml:space="preserve">。</w:t>
      </w:r>
      <w:bookmarkEnd w:id="127"/>
      <w:bookmarkEnd w:id="128"/>
      <w:r/>
    </w:p>
    <w:p>
      <w:pPr>
        <w:pStyle w:val="935"/>
        <w:ind w:firstLine="420"/>
        <w:spacing w:before="0" w:after="0" w:line="240" w:lineRule="auto"/>
        <w:rPr>
          <w:rFonts w:hint="eastAsia" w:asciiTheme="minorEastAsia" w:hAnsiTheme="minorEastAsia" w:eastAsiaTheme="minorEastAsia" w:cstheme="minorEastAsia"/>
          <w:b w:val="0"/>
          <w:bCs w:val="0"/>
        </w:rPr>
      </w:pPr>
      <w:r/>
      <w:bookmarkStart w:id="129" w:name="_Hlt26670489"/>
      <w:r/>
      <w:bookmarkEnd w:id="129"/>
      <w:r/>
      <w:bookmarkStart w:id="130" w:name="_Hlt26954734"/>
      <w:r/>
      <w:bookmarkEnd w:id="130"/>
      <w:r/>
      <w:bookmarkStart w:id="131" w:name="_Hlt26954850"/>
      <w:r/>
      <w:bookmarkEnd w:id="131"/>
      <w:r/>
      <w:bookmarkStart w:id="132" w:name="_Toc14577360"/>
      <w:r/>
      <w:bookmarkStart w:id="133" w:name="_Toc49090511"/>
      <w:r>
        <w:rPr>
          <w:rFonts w:hint="eastAsia" w:asciiTheme="minorEastAsia" w:hAnsiTheme="minorEastAsia" w:eastAsiaTheme="minorEastAsia" w:cstheme="minorEastAsia"/>
          <w:b w:val="0"/>
          <w:bCs w:val="0"/>
        </w:rPr>
        <w:t xml:space="preserve">15、投标有效期</w:t>
      </w:r>
      <w:bookmarkEnd w:id="132"/>
      <w:r/>
      <w:bookmarkEnd w:id="133"/>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w:t>
      </w:r>
      <w:r>
        <w:rPr>
          <w:rFonts w:hint="eastAsia" w:asciiTheme="minorEastAsia" w:hAnsiTheme="minorEastAsia" w:eastAsiaTheme="minorEastAsia" w:cstheme="minorEastAsia"/>
          <w:bCs/>
          <w:sz w:val="24"/>
        </w:rPr>
        <w:t xml:space="preserve"> 投标有效期为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规定的开标之日后</w:t>
      </w:r>
      <w:r>
        <w:rPr>
          <w:rFonts w:hint="eastAsia" w:asciiTheme="minorEastAsia" w:hAnsiTheme="minorEastAsia" w:eastAsiaTheme="minorEastAsia" w:cstheme="minorEastAsia"/>
          <w:b/>
          <w:sz w:val="24"/>
          <w:u w:val="single"/>
        </w:rPr>
        <w:t xml:space="preserve">六十（60）天</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投标有效期比规定短的将被视为未实质性响应招标文件而予以拒绝。</w:t>
      </w:r>
      <w:r/>
    </w:p>
    <w:p>
      <w:pPr>
        <w:pStyle w:val="935"/>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16、投标有效期的延长</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16.1</w:t>
      </w:r>
      <w:r>
        <w:rPr>
          <w:rFonts w:hint="eastAsia" w:asciiTheme="minorEastAsia" w:hAnsiTheme="minorEastAsia" w:eastAsiaTheme="minorEastAsia" w:cstheme="minorEastAsia"/>
          <w:bCs/>
          <w:sz w:val="24"/>
        </w:rPr>
        <w:t xml:space="preserve"> 在特殊情况下，</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于原投标有效期满之前，可向投标人提出延长投标有效期的要求。这种要求与答复均应采用书面形式。投标人可以拒绝</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的这一要求而放弃投标</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Cs/>
          <w:sz w:val="24"/>
        </w:rPr>
        <w:t xml:space="preserve">同意延长投标有效期的投标人既不能要求也不允许修改其投标文件</w:t>
      </w:r>
      <w:r>
        <w:rPr>
          <w:rFonts w:hint="eastAsia" w:asciiTheme="minorEastAsia" w:hAnsiTheme="minorEastAsia" w:eastAsiaTheme="minorEastAsia" w:cstheme="minorEastAsia"/>
          <w:sz w:val="24"/>
          <w:szCs w:val="24"/>
        </w:rPr>
        <w:t xml:space="preserve">，同时受投标有效期约束的所有权利与义务均延长至新的有效期</w:t>
      </w:r>
      <w:r>
        <w:rPr>
          <w:rFonts w:hint="eastAsia" w:asciiTheme="minorEastAsia" w:hAnsiTheme="minorEastAsia" w:eastAsiaTheme="minorEastAsia" w:cstheme="minorEastAsia"/>
          <w:bCs/>
          <w:sz w:val="24"/>
        </w:rPr>
        <w:t xml:space="preserve">。</w:t>
      </w:r>
      <w:r/>
    </w:p>
    <w:p>
      <w:pPr>
        <w:pStyle w:val="933"/>
        <w:ind w:firstLine="482"/>
        <w:spacing w:before="156" w:after="156" w:line="360" w:lineRule="auto"/>
        <w:rPr>
          <w:rFonts w:hint="eastAsia" w:asciiTheme="minorEastAsia" w:hAnsiTheme="minorEastAsia" w:eastAsiaTheme="minorEastAsia" w:cstheme="minorEastAsia"/>
        </w:rPr>
      </w:pPr>
      <w:r/>
      <w:bookmarkStart w:id="134" w:name="_Hlt26954739"/>
      <w:r/>
      <w:bookmarkEnd w:id="134"/>
      <w:r/>
      <w:bookmarkStart w:id="135" w:name="_Hlt26954852"/>
      <w:r/>
      <w:bookmarkEnd w:id="135"/>
      <w:r/>
      <w:bookmarkStart w:id="136" w:name="_Toc513029224"/>
      <w:r/>
      <w:bookmarkStart w:id="137" w:name="_Toc16938540"/>
      <w:r/>
      <w:bookmarkStart w:id="138" w:name="_Toc20823296"/>
      <w:r/>
      <w:bookmarkStart w:id="139" w:name="_Toc120614217"/>
      <w:r>
        <w:rPr>
          <w:rFonts w:hint="eastAsia" w:asciiTheme="minorEastAsia" w:hAnsiTheme="minorEastAsia" w:eastAsiaTheme="minorEastAsia" w:cstheme="minorEastAsia"/>
        </w:rPr>
        <w:t xml:space="preserve">四、投标文件的递交</w:t>
      </w:r>
      <w:bookmarkEnd w:id="136"/>
      <w:r/>
      <w:bookmarkEnd w:id="137"/>
      <w:r/>
      <w:bookmarkEnd w:id="138"/>
      <w:r/>
      <w:bookmarkEnd w:id="139"/>
      <w:r/>
      <w:r/>
    </w:p>
    <w:p>
      <w:pPr>
        <w:pStyle w:val="935"/>
        <w:ind w:firstLine="560"/>
        <w:spacing w:before="0" w:after="0" w:line="240" w:lineRule="auto"/>
        <w:rPr>
          <w:rFonts w:hint="eastAsia" w:asciiTheme="minorEastAsia" w:hAnsiTheme="minorEastAsia" w:eastAsiaTheme="minorEastAsia" w:cstheme="minorEastAsia"/>
          <w:b w:val="0"/>
          <w:bCs w:val="0"/>
        </w:rPr>
      </w:pPr>
      <w:r/>
      <w:bookmarkStart w:id="140" w:name="_Toc462564084"/>
      <w:r/>
      <w:bookmarkStart w:id="141" w:name="_Toc20823297"/>
      <w:r/>
      <w:bookmarkStart w:id="142" w:name="_Toc16938541"/>
      <w:r/>
      <w:bookmarkStart w:id="143" w:name="_Toc513029225"/>
      <w:r>
        <w:rPr>
          <w:rFonts w:hint="eastAsia" w:asciiTheme="minorEastAsia" w:hAnsiTheme="minorEastAsia" w:eastAsiaTheme="minorEastAsia" w:cstheme="minorEastAsia"/>
          <w:b w:val="0"/>
          <w:bCs w:val="0"/>
        </w:rPr>
        <w:t xml:space="preserve">17、投标文件</w:t>
      </w:r>
      <w:bookmarkEnd w:id="140"/>
      <w:r/>
      <w:bookmarkEnd w:id="141"/>
      <w:r/>
      <w:bookmarkEnd w:id="142"/>
      <w:r/>
      <w:bookmarkEnd w:id="143"/>
      <w:r>
        <w:rPr>
          <w:rFonts w:hint="eastAsia" w:asciiTheme="minorEastAsia" w:hAnsiTheme="minorEastAsia" w:eastAsiaTheme="minorEastAsia" w:cstheme="minorEastAsia"/>
          <w:b w:val="0"/>
          <w:bCs w:val="0"/>
        </w:rPr>
        <w:t xml:space="preserve">的递交</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17.1</w:t>
      </w:r>
      <w:r>
        <w:rPr>
          <w:rFonts w:hint="eastAsia" w:asciiTheme="minorEastAsia" w:hAnsiTheme="minorEastAsia" w:eastAsiaTheme="minorEastAsia" w:cstheme="minorEastAsia"/>
          <w:bCs/>
          <w:sz w:val="24"/>
        </w:rPr>
        <w:t xml:space="preserve"> 电子投标文件的递交</w:t>
      </w:r>
      <w:r/>
    </w:p>
    <w:p>
      <w:pPr>
        <w:pStyle w:val="1038"/>
        <w:ind w:left="525"/>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投标人应当按照《操作手册》规定，在投标截止时间前制作并上传电子投标文件。</w:t>
      </w:r>
      <w:bookmarkStart w:id="144" w:name="_Toc16938542"/>
      <w:r/>
      <w:bookmarkStart w:id="145" w:name="_Toc20823298"/>
      <w:r/>
      <w:bookmarkStart w:id="146" w:name="_Toc513029226"/>
      <w:r/>
      <w:r/>
    </w:p>
    <w:p>
      <w:pPr>
        <w:pStyle w:val="935"/>
        <w:ind w:firstLine="420"/>
        <w:rPr>
          <w:rFonts w:hint="eastAsia" w:asciiTheme="minorEastAsia" w:hAnsiTheme="minorEastAsia" w:eastAsiaTheme="minorEastAsia" w:cstheme="minorEastAsia"/>
          <w:b w:val="0"/>
        </w:rPr>
      </w:pPr>
      <w:r>
        <w:rPr>
          <w:rFonts w:hint="eastAsia" w:asciiTheme="minorEastAsia" w:hAnsiTheme="minorEastAsia" w:eastAsiaTheme="minorEastAsia" w:cstheme="minorEastAsia"/>
          <w:b w:val="0"/>
        </w:rPr>
        <w:t xml:space="preserve">18、投标截止</w:t>
      </w:r>
      <w:bookmarkEnd w:id="144"/>
      <w:r/>
      <w:bookmarkEnd w:id="145"/>
      <w:r/>
      <w:bookmarkEnd w:id="146"/>
      <w:r>
        <w:rPr>
          <w:rFonts w:hint="eastAsia" w:asciiTheme="minorEastAsia" w:hAnsiTheme="minorEastAsia" w:eastAsiaTheme="minorEastAsia" w:cstheme="minorEastAsia"/>
          <w:b w:val="0"/>
        </w:rPr>
        <w:t xml:space="preserve">时间</w:t>
      </w:r>
      <w:r/>
    </w:p>
    <w:p>
      <w:pPr>
        <w:ind w:firstLine="480"/>
        <w:spacing w:line="50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i/>
          <w:sz w:val="24"/>
          <w:u w:val="single"/>
        </w:rPr>
        <w:t xml:space="preserve">18.1</w:t>
      </w:r>
      <w:r>
        <w:rPr>
          <w:rFonts w:hint="eastAsia" w:asciiTheme="minorEastAsia" w:hAnsiTheme="minorEastAsia" w:eastAsiaTheme="minorEastAsia" w:cstheme="minorEastAsia"/>
          <w:bCs/>
          <w:i/>
          <w:sz w:val="24"/>
          <w:u w:val="single"/>
        </w:rPr>
        <w:t xml:space="preserve"> 投标人上传电子投标文件的时间不得迟于招标公告中规定的投标截止时间。</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18.2</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可以按照规定，通过修改招标文件酌情延长投标截止时间，在此情况下，投标人的所有权利和义务以及投标人受制的截止时间均应以延长后新的截止时间为准。</w:t>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147" w:name="_Toc20823299"/>
      <w:r/>
      <w:bookmarkStart w:id="148" w:name="_Toc16938543"/>
      <w:r/>
      <w:bookmarkStart w:id="149" w:name="_Toc513029227"/>
      <w:r>
        <w:rPr>
          <w:rFonts w:hint="eastAsia" w:asciiTheme="minorEastAsia" w:hAnsiTheme="minorEastAsia" w:eastAsiaTheme="minorEastAsia" w:cstheme="minorEastAsia"/>
          <w:b w:val="0"/>
          <w:bCs w:val="0"/>
        </w:rPr>
        <w:t xml:space="preserve">19、投标文件</w:t>
      </w:r>
      <w:bookmarkEnd w:id="147"/>
      <w:r/>
      <w:bookmarkEnd w:id="148"/>
      <w:r/>
      <w:bookmarkEnd w:id="149"/>
      <w:r>
        <w:rPr>
          <w:rFonts w:hint="eastAsia" w:asciiTheme="minorEastAsia" w:hAnsiTheme="minorEastAsia" w:eastAsiaTheme="minorEastAsia" w:cstheme="minorEastAsia"/>
          <w:b w:val="0"/>
          <w:bCs w:val="0"/>
        </w:rPr>
        <w:t xml:space="preserve">的拒收</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19.1建装中心</w:t>
      </w:r>
      <w:r>
        <w:rPr>
          <w:rFonts w:hint="eastAsia" w:asciiTheme="minorEastAsia" w:hAnsiTheme="minorEastAsia" w:eastAsiaTheme="minorEastAsia" w:cstheme="minorEastAsia"/>
          <w:bCs/>
          <w:sz w:val="24"/>
        </w:rPr>
        <w:t xml:space="preserve">拒绝接收在其规定的投标截止时间后上传的任何投标文件。</w:t>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150" w:name="_Toc16938544"/>
      <w:r/>
      <w:bookmarkStart w:id="151" w:name="_Toc513029228"/>
      <w:r/>
      <w:bookmarkStart w:id="152" w:name="_Toc20823300"/>
      <w:r>
        <w:rPr>
          <w:rFonts w:hint="eastAsia" w:asciiTheme="minorEastAsia" w:hAnsiTheme="minorEastAsia" w:eastAsiaTheme="minorEastAsia" w:cstheme="minorEastAsia"/>
          <w:b w:val="0"/>
          <w:bCs w:val="0"/>
        </w:rPr>
        <w:t xml:space="preserve">20、投标文件的撤回和修改</w:t>
      </w:r>
      <w:bookmarkEnd w:id="150"/>
      <w:r/>
      <w:bookmarkEnd w:id="151"/>
      <w:r/>
      <w:bookmarkEnd w:id="152"/>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 投标文件的撤回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20.1.1 电子投标文件的撤回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投标人可在投标截止时间前，撤回其电子投标文件，具体操作方法见《操作手册》。</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20.1.2 投标人撤回电子投标文件，则认为其不再参与本项目投标活动。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 投标文件的修改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20.2.1投标人可在投标截止时间前，对其电子投标文件进行修改，具体操作方法见《操作手册》。</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20.2.2</w:t>
      </w:r>
      <w:r>
        <w:rPr>
          <w:rFonts w:hint="eastAsia" w:asciiTheme="minorEastAsia" w:hAnsiTheme="minorEastAsia" w:eastAsiaTheme="minorEastAsia" w:cstheme="minorEastAsia"/>
          <w:bCs/>
          <w:sz w:val="24"/>
        </w:rPr>
        <w:t xml:space="preserve"> 在投标截止时间之后，投标人不得对其电子投标文件作任何修改。</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20.3</w:t>
      </w:r>
      <w:r>
        <w:rPr>
          <w:rFonts w:hint="eastAsia" w:asciiTheme="minorEastAsia" w:hAnsiTheme="minorEastAsia" w:eastAsiaTheme="minorEastAsia" w:cstheme="minorEastAsia"/>
          <w:bCs/>
          <w:sz w:val="24"/>
        </w:rPr>
        <w:t xml:space="preserve"> 在投标截止时间至招标文件中规定的投标有效期满之间的这段时间内，投标人不得撤回其投标。</w:t>
      </w:r>
      <w:r/>
    </w:p>
    <w:p>
      <w:pPr>
        <w:pStyle w:val="933"/>
        <w:ind w:firstLine="482"/>
        <w:spacing w:before="156" w:after="156" w:line="360" w:lineRule="auto"/>
        <w:rPr>
          <w:rFonts w:hint="eastAsia" w:asciiTheme="minorEastAsia" w:hAnsiTheme="minorEastAsia" w:eastAsiaTheme="minorEastAsia" w:cstheme="minorEastAsia"/>
        </w:rPr>
      </w:pPr>
      <w:r/>
      <w:bookmarkStart w:id="153" w:name="_Toc20823301"/>
      <w:r/>
      <w:bookmarkStart w:id="154" w:name="_Toc120614218"/>
      <w:r/>
      <w:bookmarkStart w:id="155" w:name="_Toc513029229"/>
      <w:r/>
      <w:bookmarkStart w:id="156" w:name="_Toc16938545"/>
      <w:r>
        <w:rPr>
          <w:rFonts w:hint="eastAsia" w:asciiTheme="minorEastAsia" w:hAnsiTheme="minorEastAsia" w:eastAsiaTheme="minorEastAsia" w:cstheme="minorEastAsia"/>
        </w:rPr>
        <w:t xml:space="preserve">五、开标与评标</w:t>
      </w:r>
      <w:bookmarkEnd w:id="153"/>
      <w:r/>
      <w:bookmarkEnd w:id="154"/>
      <w:r/>
      <w:bookmarkEnd w:id="155"/>
      <w:r/>
      <w:bookmarkEnd w:id="156"/>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157" w:name="_Toc20823302"/>
      <w:r/>
      <w:bookmarkStart w:id="158" w:name="_Toc513029230"/>
      <w:r/>
      <w:bookmarkStart w:id="159" w:name="_Toc16938546"/>
      <w:r>
        <w:rPr>
          <w:rFonts w:hint="eastAsia" w:asciiTheme="minorEastAsia" w:hAnsiTheme="minorEastAsia" w:eastAsiaTheme="minorEastAsia" w:cstheme="minorEastAsia"/>
          <w:b w:val="0"/>
          <w:bCs w:val="0"/>
        </w:rPr>
        <w:t xml:space="preserve">21、开标</w:t>
      </w:r>
      <w:bookmarkEnd w:id="157"/>
      <w:r/>
      <w:bookmarkEnd w:id="158"/>
      <w:r/>
      <w:bookmarkEnd w:id="159"/>
      <w:r/>
      <w:r/>
    </w:p>
    <w:p>
      <w:pPr>
        <w:ind w:firstLine="36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21.1</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将在招标公告中规定的时间和地点组织公开开标</w:t>
      </w:r>
      <w:r>
        <w:rPr>
          <w:rFonts w:hint="eastAsia" w:asciiTheme="minorEastAsia" w:hAnsiTheme="minorEastAsia" w:eastAsiaTheme="minorEastAsia" w:cstheme="minorEastAsia"/>
          <w:sz w:val="24"/>
          <w:szCs w:val="24"/>
        </w:rPr>
        <w:t xml:space="preserve">。投标人应当按照《操作手册》规定，参加开标活动和在苏采云系统规定的时间内对投标文件进行解密。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21.2</w:t>
      </w:r>
      <w:r>
        <w:rPr>
          <w:rFonts w:hint="eastAsia" w:asciiTheme="minorEastAsia" w:hAnsiTheme="minorEastAsia" w:eastAsiaTheme="minorEastAsia" w:cstheme="minorEastAsia"/>
          <w:sz w:val="24"/>
          <w:szCs w:val="24"/>
        </w:rPr>
        <w:t xml:space="preserve">开标仪式由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组织。苏采云系统将自动对项目进行开标，并宣布各投标人名称和投标价格。</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21.3投标人在开标过程中涉及到的投标文件解密、开标结果确认等工作，应按照《操作手册》规定执行。</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21.4投标人如果对开标过程和开标记录有疑义，应当根据《操作手册》规定提出，如 苏采云系统中《开标记录表》宣布后5分钟内未提出的，视同认可开标结果。</w:t>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160" w:name="_Toc16938547"/>
      <w:r/>
      <w:bookmarkStart w:id="161" w:name="_Toc513029231"/>
      <w:r/>
      <w:bookmarkStart w:id="162" w:name="_Toc20823303"/>
      <w:r>
        <w:rPr>
          <w:rFonts w:hint="eastAsia" w:asciiTheme="minorEastAsia" w:hAnsiTheme="minorEastAsia" w:eastAsiaTheme="minorEastAsia" w:cstheme="minorEastAsia"/>
          <w:b w:val="0"/>
          <w:bCs w:val="0"/>
        </w:rPr>
        <w:t xml:space="preserve">22、评标委员会</w:t>
      </w:r>
      <w:r/>
    </w:p>
    <w:p>
      <w:pPr>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22.1</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开标后，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将立即组织评标委员会（以下简称评委会）进行评标。</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22.2 评委会由采购人代表和有关技术、经济等方面的专家组成，且人员构成符合政府采购有关规定。</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22.3评委会独立工作，负责评审所有投标文件并确定中标侯选人。</w:t>
      </w:r>
      <w:r/>
    </w:p>
    <w:p>
      <w:pPr>
        <w:pStyle w:val="935"/>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23、评标过程的保密与公正</w:t>
      </w:r>
      <w:bookmarkEnd w:id="160"/>
      <w:bookmarkEnd w:id="161"/>
      <w:bookmarkEnd w:id="162"/>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23.1</w:t>
      </w:r>
      <w:r>
        <w:rPr>
          <w:rFonts w:hint="eastAsia" w:asciiTheme="minorEastAsia" w:hAnsiTheme="minorEastAsia" w:eastAsiaTheme="minorEastAsia" w:cstheme="minorEastAsia"/>
          <w:bCs/>
          <w:sz w:val="24"/>
        </w:rPr>
        <w:t xml:space="preserve">凡是与审查、澄清、评价和比较投标的有关资料以及授标建议等，采购人、评委、</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均不得向投标人或与评标无关的其他人员透露。</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23.2</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和评标委员会不向未中标的投标人解释未中标原因，也不公布评标过程中的相关细节。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23.4 采用综合评分法的项目，未中标的投标人可于中标结果公告期限届满之日起通过苏采云系统查看自己的评审得分及排序情况。</w:t>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163" w:name="_Toc16938548"/>
      <w:r/>
      <w:bookmarkStart w:id="164" w:name="_Toc513029232"/>
      <w:r/>
      <w:bookmarkStart w:id="165" w:name="_Toc20823304"/>
      <w:r>
        <w:rPr>
          <w:rFonts w:hint="eastAsia" w:asciiTheme="minorEastAsia" w:hAnsiTheme="minorEastAsia" w:eastAsiaTheme="minorEastAsia" w:cstheme="minorEastAsia"/>
          <w:b w:val="0"/>
          <w:bCs w:val="0"/>
        </w:rPr>
        <w:t xml:space="preserve">24、投标文件的澄清</w:t>
      </w:r>
      <w:bookmarkEnd w:id="163"/>
      <w:r/>
      <w:bookmarkEnd w:id="164"/>
      <w:r/>
      <w:bookmarkEnd w:id="165"/>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24.3 接到评委会澄清、说明和补正要求的投标人如未按规定做出澄清、说明和补正，其风险由投标人自行承担。</w:t>
      </w:r>
      <w:r/>
    </w:p>
    <w:p>
      <w:pPr>
        <w:pStyle w:val="935"/>
        <w:ind w:firstLine="420"/>
        <w:spacing w:before="0" w:after="0" w:line="240" w:lineRule="auto"/>
        <w:rPr>
          <w:rFonts w:hint="eastAsia" w:asciiTheme="minorEastAsia" w:hAnsiTheme="minorEastAsia" w:eastAsiaTheme="minorEastAsia" w:cstheme="minorEastAsia"/>
          <w:b w:val="0"/>
          <w:bCs w:val="0"/>
        </w:rPr>
      </w:pPr>
      <w:r/>
      <w:bookmarkStart w:id="166" w:name="_Toc20823305"/>
      <w:r/>
      <w:bookmarkStart w:id="167" w:name="_Toc513029233"/>
      <w:r/>
      <w:bookmarkStart w:id="168" w:name="_Toc16938549"/>
      <w:r>
        <w:rPr>
          <w:rFonts w:hint="eastAsia" w:asciiTheme="minorEastAsia" w:hAnsiTheme="minorEastAsia" w:eastAsiaTheme="minorEastAsia" w:cstheme="minorEastAsia"/>
          <w:b w:val="0"/>
          <w:bCs w:val="0"/>
        </w:rPr>
        <w:t xml:space="preserve">25、对投标文件的初审</w:t>
      </w:r>
      <w:bookmarkEnd w:id="166"/>
      <w:r/>
      <w:bookmarkEnd w:id="167"/>
      <w:r/>
      <w:bookmarkEnd w:id="168"/>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25.1</w:t>
      </w:r>
      <w:r>
        <w:rPr>
          <w:rFonts w:hint="eastAsia" w:asciiTheme="minorEastAsia" w:hAnsiTheme="minorEastAsia" w:eastAsiaTheme="minorEastAsia" w:cstheme="minorEastAsia"/>
          <w:bCs/>
          <w:sz w:val="24"/>
        </w:rPr>
        <w:t xml:space="preserve">投标文件初审分为资格审查和符合性审查。</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25.1.3 未通过资格审查或符合性审查的投标人，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中告知未通过资格审查或符合性审查的原因，评标结束后，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将不再告知未通过资格审查和符合性审查的原因。</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25.4</w:t>
      </w:r>
      <w:r>
        <w:rPr>
          <w:rFonts w:hint="eastAsia" w:asciiTheme="minorEastAsia" w:hAnsiTheme="minorEastAsia" w:eastAsiaTheme="minorEastAsia" w:cstheme="minorEastAsia"/>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（1）投标文件中开标一览表内容与投标文件中相应内容不一致的，以开标一览表为准。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（2）大写金额和小写金额不一致的，以大写金额为准。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（3）单价金额小数点或者百分比有明显错位的，以开标一览表的总价为准，并修改单价。</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（4）总价金额与按单价汇总金额不一致的，以单价金额计算结果为准。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同时出现两种以上错误的，按照前款规定的顺序修正。</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25.5 </w:t>
      </w:r>
      <w:r>
        <w:rPr>
          <w:rFonts w:hint="eastAsia" w:asciiTheme="minorEastAsia" w:hAnsiTheme="minorEastAsia" w:eastAsiaTheme="minorEastAsia" w:cstheme="minorEastAsia"/>
          <w:bCs/>
          <w:sz w:val="24"/>
        </w:rPr>
        <w:t xml:space="preserve">评委会将按上述修正错误的方法调整投标文件中的投标报价，并通过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告知投标人，调整后的价格应对投标人具有约束力。如果投标人不接受修正后的价格，则其投标将被拒绝。</w:t>
      </w:r>
      <w:r/>
    </w:p>
    <w:p>
      <w:pPr>
        <w:ind w:firstLine="480"/>
        <w:spacing w:line="4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25.6 评审委员会启动异常低价投标（响应）审查的情形和具体要求</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25.6.1根据财政部《关于推动解决政府采购异常低价问题的通知》财库〔2026〕2号，评审过程中出现下列情形之一的，评审委员会应当启动异常低价投标（响应）审查程序：</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25.6.1.1 投标（响应）报价低于全部通过符合性审查供应商投标（响应）报价平均值50%的，即投标（响应）报价&lt;全部通过符合性审查供应商投标（响应）报价平均值×50%；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25.6.1.2 投标（响应）报价低于通过符合性审查的次低报价供应商投标（响应）报价50%的，即投标（响应）报价&lt;通过符合性审查的次低报价供应商投标（响应）报价×50%；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25.6.1.3 投标（响应）报价低于采购项目最高限价45%的，即投标（响应）报价&lt;采购项目最高限价×45%；</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25.6.1.4评审委员会基于专业判断，认为供应商报价过低，有可能影响产品质量或者不能诚信履约的其他情形。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相关法律法规对供应商报价有规定的，从其规定。</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25.6.2评审委员会启动异常低价投标（响应）审查后，属于前述第1项至第4项情形的，应当要求相关供应商在评审现场合理的时间内对投标（响应）价格作出解释，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cstheme="minorEastAsia"/>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Theme="minorEastAsia" w:hAnsiTheme="minorEastAsia" w:eastAsiaTheme="minorEastAsia" w:cstheme="minorEastAsia"/>
          <w:sz w:val="24"/>
        </w:rPr>
        <w:t xml:space="preserve">其中，属于第3项情形，供应商已随投标（响应）文件一并提交相关书面说明及必要的证明材料的，在评审现场可不再重复提交。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依据项目特点、从可操作角度出发选用质保期、工期、响应时间、从评分项中选取部分或全部等因素拟定。）确定一个参加评标的投标人，其他投标无效。</w:t>
      </w:r>
      <w:r/>
    </w:p>
    <w:p>
      <w:pPr>
        <w:ind w:firstLine="480"/>
        <w:spacing w:line="4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依据项目特点、从可操作角度出发选用质保期、工期、响应时间、从评分项中选取部分或全部等因素拟定。）确定一个中标候选人，其他同品牌投标人不作为中标候选人。</w:t>
      </w:r>
      <w:r/>
    </w:p>
    <w:p>
      <w:pPr>
        <w:ind w:firstLine="42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非单一产品采购项目，招标文件中将载明其中的核心产品。多家投标人提供的核心产品品牌相同的，按前两款规定处理。</w:t>
      </w:r>
      <w:r/>
    </w:p>
    <w:p>
      <w:pPr>
        <w:ind w:firstLine="420"/>
        <w:spacing w:line="460" w:lineRule="exact"/>
        <w:rPr>
          <w:rFonts w:hint="eastAsia" w:asciiTheme="minorEastAsia" w:hAnsiTheme="minorEastAsia" w:eastAsiaTheme="minorEastAsia" w:cstheme="minorEastAsia"/>
          <w:sz w:val="24"/>
        </w:rPr>
      </w:pPr>
      <w:r/>
      <w:bookmarkStart w:id="169" w:name="_Toc20823306"/>
      <w:r/>
      <w:bookmarkStart w:id="170" w:name="_Toc16938550"/>
      <w:r/>
      <w:bookmarkStart w:id="171" w:name="_Toc513029234"/>
      <w:r>
        <w:rPr>
          <w:rFonts w:hint="eastAsia" w:asciiTheme="minorEastAsia" w:hAnsiTheme="minorEastAsia" w:eastAsiaTheme="minorEastAsia" w:cstheme="minorEastAsia"/>
          <w:sz w:val="24"/>
        </w:rPr>
        <w:t xml:space="preserve">25.8投标人在开、评标全过程中应保持通讯畅通，及时登录</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sz w:val="24"/>
        </w:rPr>
        <w:t xml:space="preserve">查阅、答复相关信息，并安排专人与建装中心及评标委员会联系。</w:t>
      </w:r>
      <w:r/>
    </w:p>
    <w:p>
      <w:pPr>
        <w:pStyle w:val="935"/>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26、</w:t>
      </w:r>
      <w:bookmarkEnd w:id="169"/>
      <w:r/>
      <w:bookmarkEnd w:id="170"/>
      <w:r/>
      <w:bookmarkEnd w:id="171"/>
      <w:r>
        <w:rPr>
          <w:rFonts w:hint="eastAsia" w:asciiTheme="minorEastAsia" w:hAnsiTheme="minorEastAsia" w:eastAsiaTheme="minorEastAsia" w:cstheme="minorEastAsia"/>
          <w:b w:val="0"/>
          <w:bCs w:val="0"/>
        </w:rPr>
        <w:t xml:space="preserve">无效投标条款和废标条款</w:t>
      </w:r>
      <w:r/>
    </w:p>
    <w:p>
      <w:pPr>
        <w:ind w:left="479"/>
        <w:spacing w:line="440" w:lineRule="exact"/>
        <w:rPr>
          <w:rFonts w:hint="eastAsia" w:asciiTheme="minorEastAsia" w:hAnsiTheme="minorEastAsia" w:eastAsiaTheme="minorEastAsia" w:cstheme="minorEastAsia"/>
          <w:bCs/>
          <w:sz w:val="24"/>
        </w:rPr>
      </w:pPr>
      <w:r/>
      <w:bookmarkStart w:id="172" w:name="_Toc513029235"/>
      <w:r/>
      <w:bookmarkStart w:id="173" w:name="_Toc16938551"/>
      <w:r/>
      <w:bookmarkStart w:id="174" w:name="_Toc20823307"/>
      <w:r>
        <w:rPr>
          <w:rFonts w:hint="eastAsia" w:asciiTheme="minorEastAsia" w:hAnsiTheme="minorEastAsia" w:eastAsiaTheme="minorEastAsia" w:cstheme="minorEastAsia"/>
          <w:bCs/>
          <w:sz w:val="24"/>
        </w:rPr>
        <w:t xml:space="preserve">26.1无效投标条款</w:t>
      </w:r>
      <w:r/>
    </w:p>
    <w:p>
      <w:pPr>
        <w:ind w:firstLine="48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rPr>
        <w:t xml:space="preserve">26</w:t>
      </w:r>
      <w:r>
        <w:rPr>
          <w:rFonts w:hint="eastAsia" w:asciiTheme="minorEastAsia" w:hAnsiTheme="minorEastAsia" w:eastAsiaTheme="minorEastAsia" w:cstheme="minorEastAsia"/>
          <w:bCs/>
          <w:sz w:val="24"/>
          <w:szCs w:val="24"/>
        </w:rPr>
        <w:t xml:space="preserve">.1.1 投标人在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规定的时间内未成功解密电子投标文件的。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26.1.2 投标人未按照招标文件要求上传电子投标文件的。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26.1.3同一投标人提交两个（含两个）以上不同的投标报价的。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26.1.4投标人不具备招标文件中规定资格要求的。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26.1.5投标人的报价超过了采购预算或最高限价的。</w:t>
      </w:r>
      <w:r/>
    </w:p>
    <w:p>
      <w:pPr>
        <w:ind w:firstLine="480"/>
        <w:spacing w:line="44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26.1.6未通过符合性审查的。</w:t>
      </w:r>
      <w:r/>
    </w:p>
    <w:p>
      <w:pPr>
        <w:ind w:firstLine="360"/>
        <w:spacing w:line="44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 26.1.7不符合招标文件中规定的实质性要求和条件的</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i/>
          <w:sz w:val="24"/>
          <w:u w:val="single"/>
        </w:rPr>
        <w:t xml:space="preserve">本招标文件加“★”号的内容为实质性要求和条件）。</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26.1.9 投标文件含有采购人不能接受的附加条件的。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26.1.10评标委员会按照本招标文件规定对投标人进行异常低价投标审查后，认为投标人不能证明其报价合理性的。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26.1.12 投标文件未按照招标文件要求加盖CA电子公章的。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26.1.13 投标人所投标产品不符合招标文件中所列国家强制性标准的。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26.1.14其他法律、法规及本招标文件规定的属无效投标的情形。</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26.2废标条款</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26.2.1符合专业条件的供应商或者对招标文件作实质响应的供应商不足三家的。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26.2.2出现影响采购公正的违法、违规行为的。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26.2.3因重大变故，采购任务取消的。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26.2.4评标委员会认定招标文件存在歧义、重大缺陷导致评审工作无法进行。</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26.2.5 因</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系统故障原因造成开标不成功的。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 投标截止时间结束后参加投标的供应商不足三家的处理：</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26.3.1如出现投标截止时间结束后参加投标的供应商或者在评标期间对招标文件做出实质响应的供应商不足三家情况，按政府采购相关规定执行。</w:t>
      </w:r>
      <w:r/>
    </w:p>
    <w:p>
      <w:pPr>
        <w:pStyle w:val="933"/>
        <w:ind w:firstLine="482"/>
        <w:spacing w:before="156" w:after="156" w:line="360" w:lineRule="auto"/>
        <w:rPr>
          <w:rFonts w:hint="eastAsia" w:asciiTheme="minorEastAsia" w:hAnsiTheme="minorEastAsia" w:eastAsiaTheme="minorEastAsia" w:cstheme="minorEastAsia"/>
        </w:rPr>
      </w:pPr>
      <w:r/>
      <w:bookmarkStart w:id="175" w:name="_Toc120614219"/>
      <w:r>
        <w:rPr>
          <w:rFonts w:hint="eastAsia" w:asciiTheme="minorEastAsia" w:hAnsiTheme="minorEastAsia" w:eastAsiaTheme="minorEastAsia" w:cstheme="minorEastAsia"/>
        </w:rPr>
        <w:t xml:space="preserve">六、</w:t>
      </w:r>
      <w:bookmarkEnd w:id="172"/>
      <w:r/>
      <w:bookmarkEnd w:id="173"/>
      <w:r/>
      <w:bookmarkEnd w:id="174"/>
      <w:r>
        <w:rPr>
          <w:rFonts w:hint="eastAsia" w:asciiTheme="minorEastAsia" w:hAnsiTheme="minorEastAsia" w:eastAsiaTheme="minorEastAsia" w:cstheme="minorEastAsia"/>
        </w:rPr>
        <w:t xml:space="preserve">定标</w:t>
      </w:r>
      <w:bookmarkEnd w:id="175"/>
      <w:r/>
      <w:r/>
    </w:p>
    <w:p>
      <w:pPr>
        <w:pStyle w:val="935"/>
        <w:ind w:firstLine="600"/>
        <w:spacing w:before="0" w:after="0" w:line="240" w:lineRule="auto"/>
        <w:rPr>
          <w:rFonts w:hint="eastAsia" w:asciiTheme="minorEastAsia" w:hAnsiTheme="minorEastAsia" w:eastAsiaTheme="minorEastAsia" w:cstheme="minorEastAsia"/>
          <w:b w:val="0"/>
          <w:sz w:val="30"/>
          <w:szCs w:val="30"/>
        </w:rPr>
      </w:pPr>
      <w:r/>
      <w:bookmarkStart w:id="176" w:name="_Toc513029238"/>
      <w:r/>
      <w:bookmarkStart w:id="177" w:name="_Toc16938554"/>
      <w:r/>
      <w:bookmarkStart w:id="178" w:name="_Toc20823310"/>
      <w:r>
        <w:rPr>
          <w:rFonts w:hint="eastAsia" w:asciiTheme="minorEastAsia" w:hAnsiTheme="minorEastAsia" w:eastAsiaTheme="minorEastAsia" w:cstheme="minorEastAsia"/>
          <w:b w:val="0"/>
          <w:sz w:val="30"/>
          <w:szCs w:val="30"/>
        </w:rPr>
        <w:t xml:space="preserve">27、</w:t>
      </w:r>
      <w:bookmarkEnd w:id="176"/>
      <w:r>
        <w:rPr>
          <w:rFonts w:hint="eastAsia" w:asciiTheme="minorEastAsia" w:hAnsiTheme="minorEastAsia" w:eastAsiaTheme="minorEastAsia" w:cstheme="minorEastAsia"/>
          <w:b w:val="0"/>
          <w:sz w:val="30"/>
          <w:szCs w:val="30"/>
        </w:rPr>
        <w:t xml:space="preserve">确定</w:t>
      </w:r>
      <w:bookmarkEnd w:id="177"/>
      <w:r/>
      <w:bookmarkEnd w:id="178"/>
      <w:r>
        <w:rPr>
          <w:rFonts w:hint="eastAsia" w:asciiTheme="minorEastAsia" w:hAnsiTheme="minorEastAsia" w:eastAsiaTheme="minorEastAsia" w:cstheme="minorEastAsia"/>
          <w:b w:val="0"/>
          <w:sz w:val="30"/>
          <w:szCs w:val="30"/>
        </w:rPr>
        <w:t xml:space="preserve">中标单位</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27.1中标候选人的选取原则和数量见招标文件第五章规定。 </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 采购人应根据评委会推荐的中标候选人按顺序确定中标人，中标候选人并列的，由采购人依法确定。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27.3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将在“江苏政府采购网、常州市政府采购网”发布中标公告，公告期限为1个工作日。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  若有充分证据证明，中标人出现下列情况之一的，一经查实，将被取消中标资格：</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27.4.1提供虚假材料谋取中标的。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27.4.2向采购人、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行贿或者提供其他不正当利益的。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27.4.3属于本文件规定的无效条件，但在评标过程中又未被评委会发现的。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27.4.4与采购人或者其他供应商恶意串通的。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27.4.5采取不正当手段诋毁、排挤其他供应商的。</w:t>
      </w:r>
      <w:r/>
    </w:p>
    <w:p>
      <w:pPr>
        <w:ind w:firstLine="480"/>
        <w:spacing w:line="480" w:lineRule="exact"/>
        <w:rPr>
          <w:rFonts w:hint="eastAsia" w:asciiTheme="minorEastAsia" w:hAnsiTheme="minorEastAsia" w:eastAsiaTheme="minorEastAsia" w:cstheme="minorEastAsia"/>
          <w:sz w:val="24"/>
          <w:szCs w:val="24"/>
        </w:rPr>
      </w:pPr>
      <w:r/>
      <w:bookmarkStart w:id="179" w:name="_Toc200451960"/>
      <w:r>
        <w:rPr>
          <w:rFonts w:hint="eastAsia" w:asciiTheme="minorEastAsia" w:hAnsiTheme="minorEastAsia" w:eastAsiaTheme="minorEastAsia" w:cstheme="minorEastAsia"/>
          <w:sz w:val="24"/>
          <w:szCs w:val="24"/>
        </w:rPr>
        <w:t xml:space="preserve">27.5 有下列情形之一的，视为投标人串通投标，投标无效：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27.5.1不同投标人的投标文件由同一单位或者个人编制。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27.5.2不同投标人委托同一单位或者个人办理投标事宜。</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27.5.3 不同投标人的投标文件载明的项目管理成员或者联系人员为同一人。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27.5.4不同投标人的投标文件异常一致或者投标报价呈规律性差异。</w:t>
      </w:r>
      <w:r/>
    </w:p>
    <w:p>
      <w:pPr>
        <w:pStyle w:val="935"/>
        <w:ind w:firstLine="600"/>
        <w:spacing w:before="0" w:after="0" w:line="240" w:lineRule="auto"/>
        <w:rPr>
          <w:rFonts w:hint="eastAsia"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28、质疑处理</w:t>
      </w:r>
      <w:bookmarkEnd w:id="179"/>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或采购人提出质疑。上述应知其权益受到损害之日，是指：</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28.2.1对可以质疑的采购文件提出质疑的，为收到采购文件之日或者采购文件公告期限届满之日；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28.2.2对采购过程提出质疑的，为各采购程序环节结束之日；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28.2.3对中标或者成交结果提出质疑的，为中标或者成交结果公告期限届满之日。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、采购人将只对供应商第一次质疑作出答复。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28.4</w:t>
      </w:r>
      <w:r>
        <w:rPr>
          <w:rFonts w:hint="eastAsia" w:asciiTheme="minorEastAsia" w:hAnsiTheme="minorEastAsia" w:eastAsiaTheme="minorEastAsia" w:cstheme="minorEastAsia"/>
          <w:b/>
          <w:bCs/>
          <w:sz w:val="24"/>
          <w:szCs w:val="24"/>
        </w:rPr>
        <w:t xml:space="preserve">供应商（含潜在供应商）对采购方式、采购需求、供应商资格条件及审查结果、评标方法和评标标准、合同文本的询问、质疑请向采购人提出，由采购人负责答复。</w:t>
      </w:r>
      <w:r>
        <w:rPr>
          <w:rFonts w:hint="eastAsia" w:asciiTheme="minorEastAsia" w:hAnsiTheme="minorEastAsia" w:eastAsiaTheme="minorEastAsia" w:cstheme="minorEastAsia"/>
          <w:sz w:val="24"/>
          <w:szCs w:val="24"/>
        </w:rPr>
        <w:t xml:space="preserve">供应商对除上述事项以外其他事项的询问、质疑请向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提出，由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负责答复。</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采购人及</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只接收以纸质原件形式送达的质疑,建议外地供应商尽量通过邮寄方式提交质疑（采购人和</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不接受未填写快递运单的快件）。</w:t>
      </w:r>
      <w:r/>
    </w:p>
    <w:p>
      <w:pPr>
        <w:ind w:firstLine="482"/>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采购人质疑接收部门及联系方式见第一章投标邀请。建装中心质疑接收部门为项目管理科（快递运单上的收件人填写“项目管理科”即可），联系地址：常州市新市路9号，联系电话：0519-86802236。</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28.5 以下情形的质疑不予受理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 内容不符合《政府采购质疑和投诉办法》第十二条规定的质疑。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 超出政府采购法定期限的质疑。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 以传真、电子邮件等方式递交的非原件形式的质疑。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 未参加投标活动的供应商或在投标活动中自身权益未受到损害的供应商所提出的质疑。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28.5.5供应商组成联合体参加投标，联合体中任何一方或多方未按要求签字、盖章、加盖公章的质疑。</w:t>
      </w:r>
      <w:r/>
    </w:p>
    <w:p>
      <w:pPr>
        <w:ind w:firstLine="468"/>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28.6  供应商提出书面质疑必须有理、有据，不得捏造事实、提供虚假材料进行恶意质疑。否则，一经查实，</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有权依据政府采购的有关规定，报请政府采购监管部门对该供应商进行相应的行政处罚和记录该供应商的失信信息。</w:t>
      </w:r>
      <w:r/>
    </w:p>
    <w:p>
      <w:pPr>
        <w:pStyle w:val="935"/>
        <w:ind w:firstLine="600"/>
        <w:spacing w:before="0" w:after="0" w:line="240" w:lineRule="auto"/>
        <w:rPr>
          <w:rFonts w:hint="eastAsia"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29、中标通知书</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29.l</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中标结果确定后，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将向中标人发出中标通知书。请中标人在</w:t>
      </w:r>
      <w:r>
        <w:rPr>
          <w:rFonts w:hint="eastAsia" w:asciiTheme="minorEastAsia" w:hAnsiTheme="minorEastAsia" w:eastAsiaTheme="minorEastAsia" w:cstheme="minorEastAsia"/>
          <w:sz w:val="24"/>
        </w:rPr>
        <w:t xml:space="preserve">中标结果公告届满之日起30日内</w:t>
      </w:r>
      <w:r>
        <w:rPr>
          <w:rFonts w:hint="eastAsia" w:asciiTheme="minorEastAsia" w:hAnsiTheme="minorEastAsia" w:eastAsiaTheme="minorEastAsia" w:cstheme="minorEastAsia"/>
          <w:sz w:val="24"/>
          <w:szCs w:val="24"/>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933"/>
        <w:spacing w:before="156" w:after="156" w:line="360" w:lineRule="auto"/>
        <w:rPr>
          <w:rFonts w:hint="eastAsia" w:asciiTheme="minorEastAsia" w:hAnsiTheme="minorEastAsia" w:eastAsiaTheme="minorEastAsia" w:cstheme="minorEastAsia"/>
        </w:rPr>
      </w:pPr>
      <w:r/>
      <w:bookmarkStart w:id="180" w:name="_Toc120614220"/>
      <w:r/>
      <w:bookmarkStart w:id="181" w:name="_Toc513029236"/>
      <w:r/>
      <w:bookmarkStart w:id="182" w:name="_Toc16938552"/>
      <w:r/>
      <w:bookmarkStart w:id="183" w:name="_Toc20823308"/>
      <w:r>
        <w:rPr>
          <w:rFonts w:hint="eastAsia" w:asciiTheme="minorEastAsia" w:hAnsiTheme="minorEastAsia" w:eastAsiaTheme="minorEastAsia" w:cstheme="minorEastAsia"/>
        </w:rPr>
        <w:t xml:space="preserve">七、授予合同</w:t>
      </w:r>
      <w:bookmarkEnd w:id="180"/>
      <w:r/>
      <w:bookmarkEnd w:id="181"/>
      <w:bookmarkEnd w:id="182"/>
      <w:bookmarkEnd w:id="183"/>
      <w:r/>
    </w:p>
    <w:p>
      <w:pPr>
        <w:pStyle w:val="935"/>
        <w:ind w:firstLine="600"/>
        <w:spacing w:before="0" w:after="0" w:line="240" w:lineRule="auto"/>
        <w:rPr>
          <w:rFonts w:hint="eastAsia" w:asciiTheme="minorEastAsia" w:hAnsiTheme="minorEastAsia" w:eastAsiaTheme="minorEastAsia" w:cstheme="minorEastAsia"/>
          <w:b w:val="0"/>
          <w:sz w:val="30"/>
          <w:szCs w:val="30"/>
        </w:rPr>
      </w:pPr>
      <w:r/>
      <w:bookmarkStart w:id="184" w:name="_Toc20823309"/>
      <w:r/>
      <w:bookmarkStart w:id="185" w:name="_Toc16938553"/>
      <w:r/>
      <w:bookmarkStart w:id="186" w:name="_Toc513029237"/>
      <w:r>
        <w:rPr>
          <w:rFonts w:hint="eastAsia" w:asciiTheme="minorEastAsia" w:hAnsiTheme="minorEastAsia" w:eastAsiaTheme="minorEastAsia" w:cstheme="minorEastAsia"/>
          <w:b w:val="0"/>
          <w:sz w:val="30"/>
          <w:szCs w:val="30"/>
        </w:rPr>
        <w:t xml:space="preserve">30. 签订合同</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30</w:t>
      </w:r>
      <w:r>
        <w:rPr>
          <w:rFonts w:hint="eastAsia" w:asciiTheme="minorEastAsia" w:hAnsiTheme="minorEastAsia" w:eastAsiaTheme="minorEastAsia" w:cstheme="minorEastAsia"/>
          <w:sz w:val="24"/>
          <w:szCs w:val="24"/>
        </w:rPr>
        <w:t xml:space="preserve">.l</w:t>
      </w:r>
      <w:r>
        <w:rPr>
          <w:rFonts w:hint="eastAsia" w:asciiTheme="minorEastAsia" w:hAnsiTheme="minorEastAsia" w:eastAsiaTheme="minorEastAsia" w:cstheme="minorEastAsia"/>
          <w:sz w:val="24"/>
        </w:rPr>
        <w:t xml:space="preserve">中标人应当在中标通知书发出之日起三十日内</w:t>
      </w:r>
      <w:r>
        <w:rPr>
          <w:rFonts w:hint="eastAsia" w:asciiTheme="minorEastAsia" w:hAnsiTheme="minorEastAsia" w:eastAsiaTheme="minorEastAsia" w:cstheme="minorEastAsia"/>
          <w:sz w:val="24"/>
          <w:szCs w:val="24"/>
        </w:rPr>
        <w:t xml:space="preserve">，按照招标文件确定的事项与采购人签订政府采购合同。</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招标文件、中标人的投标文件及招标过程中有关澄清、承诺文件均应作为合同附件。</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30.3 签订合同后，</w:t>
      </w:r>
      <w:r>
        <w:rPr>
          <w:rFonts w:hint="eastAsia" w:asciiTheme="minorEastAsia" w:hAnsiTheme="minorEastAsia" w:eastAsiaTheme="minorEastAsia" w:cstheme="minorEastAsia"/>
          <w:i/>
          <w:sz w:val="24"/>
          <w:szCs w:val="24"/>
          <w:u w:val="single"/>
        </w:rPr>
        <w:t xml:space="preserve">中标人不得将合同标的进行转包</w:t>
      </w:r>
      <w:r>
        <w:rPr>
          <w:rFonts w:hint="eastAsia" w:asciiTheme="minorEastAsia" w:hAnsiTheme="minorEastAsia" w:eastAsiaTheme="minorEastAsia" w:cstheme="minorEastAsia"/>
          <w:sz w:val="24"/>
          <w:szCs w:val="24"/>
        </w:rPr>
        <w:t xml:space="preserve">。未经采购人同意，中标人也不得采用分包的形式履行合同，否则采购人有权终止合同。转包或分包造成采购人损失的，中标人应承担相应赔偿责任。</w:t>
      </w:r>
      <w:r/>
    </w:p>
    <w:p>
      <w:pPr>
        <w:ind w:firstLine="480"/>
        <w:keepLines/>
        <w:keepNext/>
        <w:rPr>
          <w:rFonts w:hint="eastAsia" w:asciiTheme="minorEastAsia" w:hAnsiTheme="minorEastAsia" w:eastAsiaTheme="minorEastAsia" w:cstheme="minorEastAsia"/>
          <w:bCs/>
          <w:sz w:val="24"/>
          <w:szCs w:val="24"/>
        </w:rPr>
        <w:outlineLvl w:val="3"/>
      </w:pPr>
      <w:r>
        <w:rPr>
          <w:rFonts w:hint="eastAsia" w:asciiTheme="minorEastAsia" w:hAnsiTheme="minorEastAsia" w:eastAsiaTheme="minorEastAsia" w:cstheme="minorEastAsia"/>
          <w:sz w:val="24"/>
          <w:szCs w:val="24"/>
        </w:rPr>
        <w:t xml:space="preserve">31</w:t>
      </w:r>
      <w:r>
        <w:rPr>
          <w:rFonts w:hint="eastAsia" w:asciiTheme="minorEastAsia" w:hAnsiTheme="minorEastAsia" w:eastAsiaTheme="minorEastAsia" w:cstheme="minorEastAsia"/>
          <w:bCs/>
          <w:sz w:val="24"/>
          <w:szCs w:val="24"/>
        </w:rPr>
        <w:t xml:space="preserve">、货物（包含与货物相关的服务）的追加</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bookmarkEnd w:id="184"/>
      <w:bookmarkEnd w:id="185"/>
      <w:bookmarkEnd w:id="186"/>
      <w:r/>
    </w:p>
    <w:p>
      <w:pPr>
        <w:pStyle w:val="935"/>
        <w:ind w:firstLine="600"/>
        <w:spacing w:before="0" w:after="0" w:line="240" w:lineRule="auto"/>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32、需要执行的政府采购政策（包括但不限于）</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32.1履约资金扶持政策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32.2进口产品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32.3中小企业、监狱企业及残疾人福利性单位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32.3.1中小企业定义：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中小企业是</w:t>
      </w:r>
      <w:r>
        <w:rPr>
          <w:rFonts w:hint="eastAsia" w:asciiTheme="minorEastAsia" w:hAnsiTheme="minorEastAsia" w:eastAsiaTheme="minorEastAsia" w:cstheme="minorEastAsia"/>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32.3.2供应商提供的货物、工程或者服务符合下列情形的，享受中小企业扶持政策：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32.3.2.1</w:t>
      </w:r>
      <w:r>
        <w:rPr>
          <w:rFonts w:hint="eastAsia" w:asciiTheme="minorEastAsia" w:hAnsiTheme="minorEastAsia" w:eastAsiaTheme="minorEastAsia" w:cstheme="minorEastAsia"/>
          <w:sz w:val="24"/>
        </w:rPr>
        <w:t xml:space="preserve">在货物采购项目中，货物由中小企业制造，即货物由中小企业生产且使用该中小企业商号或者注册商标</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32.3.2.2在工程采购项目中，工程由中小企业承建，即工程施工单位为中小企业；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32.3.2.3在服务采购项目中，服务由中小企业承接，即提供服务的人员为中小企业依照《中华人民共和国劳动合同法》订立劳动合同的从业人员。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32.3.3在货物采购项目中，供应商提供的货物既有中小企业制造货物，也有大型企业制造货物的，不享受中小企业扶持政策。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32.3.6残疾人福利单位定义：享受政府采购支持政策的残疾人福利性单位应当同时满足以下条件：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32.3.6.1安置的残疾人占本单位在职职工人数的比例不低于25%（含25%），并且安置的残疾人人数不少于10 人（含10 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32.3.6.2依法与安置的每位残疾人签订了一年以上（含一年）的劳动合同或服务协议；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32.3.6.3为安置的每位残疾人按月足额缴纳了基本养老保险、基本医疗保险、失业保险、工伤保险和生育保险等社会保险费；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32.3.6.4通过银行等金融机构向安置的每位残疾人，按月支付了不低于单位所在区县适用的经省级人民政府批准的月最低工资标准的工资；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32.3.7本项目是否专门面向中小企业预留采购份额见第一章《投标邀请》。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32.3.8采购标的对应的中小企业划分标准所属行业见第四章《采购需求》。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32.3.9小微企业价格评审优惠的政策调整：见第五章《评标方法和评标标准》。</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32.4政府采购节能产品、环境标志产品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32.4.2采购人拟采购的产品属于品目清单范围的，采购人及其委托的采购代理机构</w:t>
      </w:r>
      <w:r>
        <w:rPr>
          <w:rFonts w:hint="eastAsia" w:asciiTheme="minorEastAsia" w:hAnsiTheme="minorEastAsia" w:eastAsiaTheme="minorEastAsia" w:cstheme="minorEastAsia"/>
          <w:sz w:val="24"/>
        </w:rPr>
        <w:t xml:space="preserve">依据国家确定的认证机构出具的、处于有效期之内的节能产品、环境标志产品认证证书，对获得证书的产品实施政府优先采购或强制采购</w:t>
      </w:r>
      <w:r>
        <w:rPr>
          <w:rFonts w:hint="eastAsia" w:asciiTheme="minorEastAsia" w:hAnsiTheme="minorEastAsia" w:eastAsiaTheme="minorEastAsia" w:cstheme="minorEastAsia"/>
          <w:sz w:val="24"/>
          <w:szCs w:val="24"/>
        </w:rPr>
        <w:t xml:space="preserve">。关于政府采购节能产品、环境标志产品的相关规定依据《关于调整优化节能产品、环境标志产品政府采购执行机制的通知》（财库〔2019〕9号）。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32.4.3</w:t>
      </w:r>
      <w:r>
        <w:rPr>
          <w:rFonts w:hint="eastAsia" w:asciiTheme="minorEastAsia" w:hAnsiTheme="minorEastAsia" w:eastAsiaTheme="minorEastAsia" w:cstheme="minorEastAsia"/>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32.4.4非政府强制采购的节能产品或环境标志产品，依据品目清单和认证证书实施政府优先采购。优先采购的具体规定见第五章《评标方法和评标标准》（如涉及）。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32.5绿色包装</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32.6支持乡村产业振兴管理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32.7正版软件</w:t>
      </w:r>
      <w:r/>
    </w:p>
    <w:p>
      <w:pPr>
        <w:ind w:firstLine="48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32.7.1采购无线局域网产品和含有无线局域网功能的计算机、通信设备、打印机、复印机、投影仪等产品的，优先采购符合国家无线局域网安全标准（GB 15629.11/1102）并通过国家产品认证的产品。</w:t>
      </w:r>
      <w:r>
        <w:rPr>
          <w:rFonts w:hint="eastAsia" w:asciiTheme="minorEastAsia" w:hAnsiTheme="minorEastAsia" w:eastAsiaTheme="minorEastAsia" w:cstheme="minorEastAsia"/>
          <w:b/>
          <w:sz w:val="24"/>
          <w:szCs w:val="24"/>
        </w:rPr>
        <w:t xml:space="preserve">其中，国家有特殊信息安全要求的项目必须采购认证产品，否则投标无效。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Theme="minorEastAsia" w:hAnsiTheme="minorEastAsia" w:eastAsiaTheme="minorEastAsia" w:cstheme="minorEastAsia"/>
          <w:sz w:val="24"/>
        </w:rPr>
        <w:t xml:space="preserve">已预装正版操作系统软件</w:t>
      </w:r>
      <w:r>
        <w:rPr>
          <w:rFonts w:hint="eastAsia" w:asciiTheme="minorEastAsia" w:hAnsiTheme="minorEastAsia" w:eastAsiaTheme="minorEastAsia" w:cstheme="minorEastAsia"/>
          <w:sz w:val="24"/>
          <w:szCs w:val="24"/>
        </w:rPr>
        <w:t xml:space="preserve">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32.8政府采购创新产品政策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采购人要将创新要求嵌入采购项目需求，可在采购文件中设定评审规则，优先采购各级政府部门公开发布的</w:t>
      </w:r>
      <w:r>
        <w:rPr>
          <w:rFonts w:hint="eastAsia" w:asciiTheme="minorEastAsia" w:hAnsiTheme="minorEastAsia" w:eastAsiaTheme="minorEastAsia" w:cstheme="minorEastAsia"/>
          <w:sz w:val="24"/>
        </w:rPr>
        <w:t xml:space="preserve">有效期内的创新产品、创新服务、首台套、首购首用等《目录》的创新产品</w:t>
      </w:r>
      <w:r>
        <w:rPr>
          <w:rFonts w:hint="eastAsia" w:asciiTheme="minorEastAsia" w:hAnsiTheme="minorEastAsia" w:eastAsiaTheme="minorEastAsia" w:cstheme="minorEastAsia"/>
          <w:sz w:val="24"/>
          <w:szCs w:val="24"/>
        </w:rPr>
        <w:t xml:space="preserve">，上述《目录》内创新产品，</w:t>
      </w:r>
      <w:r>
        <w:rPr>
          <w:rFonts w:hint="eastAsia" w:asciiTheme="minorEastAsia" w:hAnsiTheme="minorEastAsia" w:eastAsiaTheme="minorEastAsia" w:cstheme="minorEastAsia"/>
          <w:sz w:val="24"/>
        </w:rPr>
        <w:t xml:space="preserve">自认定之日起2年内视同已具备相应销售业绩，参加政府采购活动时业绩分值为满分。</w:t>
      </w:r>
      <w:r>
        <w:rPr>
          <w:rFonts w:hint="eastAsia" w:asciiTheme="minorEastAsia" w:hAnsiTheme="minorEastAsia" w:eastAsiaTheme="minorEastAsia" w:cstheme="minorEastAsia"/>
          <w:sz w:val="24"/>
          <w:szCs w:val="24"/>
        </w:rPr>
        <w:t xml:space="preserve">（如涉及）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32.9绿色数据中心政策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Theme="minorEastAsia" w:hAnsiTheme="minorEastAsia" w:eastAsiaTheme="minorEastAsia" w:cstheme="minorEastAsia"/>
          <w:sz w:val="24"/>
        </w:rPr>
        <w:t xml:space="preserve">采购人应当在履约验收中对供应商提供的产品或服务进行抽查检测，必要时可委托取得相关资质的第三方机构对其进行检测、认证。</w:t>
      </w:r>
      <w:r>
        <w:rPr>
          <w:rFonts w:hint="eastAsia" w:asciiTheme="minorEastAsia" w:hAnsiTheme="minorEastAsia" w:eastAsiaTheme="minorEastAsia" w:cstheme="minorEastAsia"/>
          <w:sz w:val="24"/>
          <w:szCs w:val="24"/>
        </w:rPr>
        <w:t xml:space="preserve">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z w:val="24"/>
          <w:szCs w:val="24"/>
        </w:rPr>
        <w:t xml:space="preserve">32.10履约保证金相关政策</w:t>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pStyle w:val="930"/>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47"/>
      <w:bookmarkEnd w:id="48"/>
      <w:bookmarkEnd w:id="49"/>
      <w:bookmarkEnd w:id="50"/>
      <w:bookmarkEnd w:id="51"/>
      <w:r/>
    </w:p>
    <w:p>
      <w:pPr>
        <w:jc w:val="center"/>
        <w:keepNext/>
        <w:rPr>
          <w:rFonts w:hint="eastAsia" w:asciiTheme="minorEastAsia" w:hAnsiTheme="minorEastAsia" w:eastAsiaTheme="minorEastAsia" w:cstheme="minorEastAsia"/>
          <w:bCs/>
          <w:sz w:val="44"/>
          <w:szCs w:val="28"/>
        </w:rPr>
        <w:outlineLvl w:val="0"/>
      </w:pPr>
      <w:r/>
      <w:bookmarkStart w:id="187" w:name="_Toc20823315"/>
      <w:r/>
      <w:bookmarkStart w:id="188" w:name="_Toc513029243"/>
      <w:r/>
      <w:bookmarkStart w:id="189" w:name="_Toc16938559"/>
      <w:r>
        <w:rPr>
          <w:rFonts w:hint="eastAsia" w:asciiTheme="minorEastAsia" w:hAnsiTheme="minorEastAsia" w:eastAsiaTheme="minorEastAsia" w:cstheme="minorEastAsia"/>
          <w:bCs/>
          <w:sz w:val="44"/>
          <w:szCs w:val="28"/>
        </w:rPr>
        <w:t xml:space="preserve">第三章  合同文本</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以下为中标后签定本项目合同的通用条款，中标人不得提出实质性的修改。</w:t>
      </w:r>
      <w:r/>
    </w:p>
    <w:p>
      <w:pPr>
        <w:jc w:val="center"/>
        <w:spacing w:before="120" w:after="120"/>
        <w:rPr>
          <w:rFonts w:hint="eastAsia" w:asciiTheme="minorEastAsia" w:hAnsiTheme="minorEastAsia" w:eastAsiaTheme="minorEastAsia" w:cstheme="minorEastAsia"/>
          <w:b/>
          <w:bCs/>
          <w:sz w:val="30"/>
          <w:szCs w:val="20"/>
        </w:rPr>
        <w:outlineLvl w:val="0"/>
      </w:pPr>
      <w:r>
        <w:rPr>
          <w:rFonts w:hint="eastAsia" w:asciiTheme="minorEastAsia" w:hAnsiTheme="minorEastAsia" w:eastAsiaTheme="minorEastAsia" w:cstheme="minorEastAsia"/>
          <w:b/>
          <w:sz w:val="30"/>
        </w:rPr>
        <w:t xml:space="preserve">江苏省政府采购合同（货物）（合同编号）</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                                       项目编号：</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甲方：（买方）_________</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乙方：（卖方）_________</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甲、乙双方根据江苏省政府采购中心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项目公开招标的结果，签署本合同。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一、合同内容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标的名称：</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标的质量：</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 标的数量（规模）：</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 履行时间（期限）：</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 履行地点：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 履行方式：</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 包装方式：</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二、合同金额</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本合同金额为（大写）：_______圆（___元）人民币或其他币种。</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三、技术资料</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3.1乙方应按招标文件规定的时间向甲方提供使用货物(包含与货物相关的服务)的有关技术资料。</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四、知识产权</w:t>
      </w:r>
      <w:r/>
    </w:p>
    <w:p>
      <w:pP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4.1乙</w:t>
      </w:r>
      <w:r>
        <w:rPr>
          <w:rFonts w:hint="eastAsia" w:asciiTheme="minorEastAsia" w:hAnsiTheme="minorEastAsia" w:eastAsiaTheme="minorEastAsia" w:cstheme="minorEastAsia"/>
          <w:sz w:val="24"/>
        </w:rPr>
        <w:t xml:space="preserve">方应保证甲方在使用、接受本合同货物</w:t>
      </w:r>
      <w:r>
        <w:rPr>
          <w:rFonts w:hint="eastAsia" w:asciiTheme="minorEastAsia" w:hAnsiTheme="minorEastAsia" w:eastAsiaTheme="minorEastAsia" w:cstheme="minorEastAsia"/>
          <w:sz w:val="24"/>
          <w:szCs w:val="24"/>
        </w:rPr>
        <w:t xml:space="preserve">（包含与货物相关的服务）</w:t>
      </w:r>
      <w:r>
        <w:rPr>
          <w:rFonts w:hint="eastAsia" w:asciiTheme="minorEastAsia" w:hAnsiTheme="minorEastAsia" w:eastAsiaTheme="minorEastAsia" w:cstheme="minorEastAsia"/>
          <w:sz w:val="24"/>
        </w:rPr>
        <w:t xml:space="preserve">或其任何一部分时不受第三方提出侵犯其专利权、版权、商标权和工业设计权等知识产权的起诉。一旦出现侵权，由乙方负全部责任。</w:t>
      </w:r>
      <w:r/>
    </w:p>
    <w:p>
      <w:pPr>
        <w:spacing w:before="120" w:after="1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
          <w:sz w:val="24"/>
          <w:szCs w:val="24"/>
        </w:rPr>
        <w:t xml:space="preserve">五、产权担保</w:t>
      </w:r>
      <w:r/>
    </w:p>
    <w:p>
      <w:pPr>
        <w:ind w:left="408" w:hanging="408"/>
        <w:spacing w:before="120" w:after="1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5.1 乙方保证所交付的货物（包含与货物相关的服务）的所有权完全属于乙方且无任何抵押、查封等产权瑕疵。</w:t>
      </w:r>
      <w:r/>
    </w:p>
    <w:p>
      <w:pPr>
        <w:ind w:left="410" w:hanging="410"/>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六、履约保证金</w:t>
      </w:r>
      <w:r/>
    </w:p>
    <w:p>
      <w:pPr>
        <w:ind w:left="408"/>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七、合同转包或分包</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7.1乙方不得将合同标的转包给他人履行。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7.2乙方不得将合同标的分包给他人履行。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7.3乙方如有转包或未经甲方同意的分包行为，甲方有权给予终止合同。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八、合同款项支付</w:t>
      </w:r>
      <w:r/>
    </w:p>
    <w:p>
      <w:pPr>
        <w:spacing w:before="120" w:after="1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8.1合同款项的支付方式及进度安排：本合同货物在规定的时间内供货，验收合格，自验收合格之日起十个工作日内一次性付清。</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九、税费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9.1本合同执行中相关的一切税费均由乙方负担。</w:t>
      </w:r>
      <w:r/>
    </w:p>
    <w:p>
      <w:pPr>
        <w:ind w:left="412" w:hanging="412"/>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十、质量保修范围和保修期及售后服务</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乙方应按招标文件规定的货物性能、技术要求、质量标准向甲方提供未经使用的全新产品。</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⑴更换：由乙方承担所发生的全部费用。</w:t>
      </w:r>
      <w:r/>
    </w:p>
    <w:p>
      <w:pPr>
        <w:ind w:firstLine="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⑵贬值处理：由甲乙双方合议定价。</w:t>
      </w:r>
      <w:r/>
    </w:p>
    <w:p>
      <w:pPr>
        <w:ind w:left="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⑶退货处理：乙方应退还甲方支付的合同款，同时应承担该货物的直接费用（运输、保险、检验、货款利息及银行手续费等）。</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如在使用过程中发生质量问题，乙方在接到甲方通知后在_________小时内到达甲方现场。</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在质保期内，乙方应对货物出现的质量及安全问题负责处理解决并承担一切费用。</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10.5上述的货物免费保修期为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年（自交货验收合格之日起计），因人为因素出现的故障不在免费保修范围内。超过保修期的机器设备，终生维修，维修时只收部件成本费。</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十一、项目验收</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甲方依法组织履约验收工作。</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对于实际使用人和甲方分离的项目，甲方邀请实际使用人参与验收。</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十二、货物的包装、发运及运输</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使用说明书、质量检验证明书、随配附件和工具以及清单一并附于货物内。</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乙方在货物发运手续办理完毕后24小时内或货到甲方48小时前通知甲方，以准备接货。</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货物在交付甲方前发生的风险均由乙方负责。</w:t>
      </w:r>
      <w:r/>
    </w:p>
    <w:p>
      <w:pPr>
        <w:ind w:left="480" w:right="26" w:hanging="480"/>
        <w:spacing w:before="156" w:after="15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 货物在规定的交付期限内由乙方送达甲方指定的地点视为交付，乙方同时需通知甲方货物已送达。</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十三、违约责任</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甲方无正当理由拒收货物的，甲方向乙方偿付拒收货款总值</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甲方无故逾期验收和办理货款支付手续的,甲方应按逾期付款总额每日</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 ‌6‰‌</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rPr>
        <w:t xml:space="preserve">向乙方支付违约金。</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的违约金，如造成甲方损失超过违约金的，超出部分由乙方继续承担赔偿责任。 </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十四、不可抗力事件处理</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在合同有效期内，任何一方因不可抗力事件导致不能履行合同，则合同履行期可延长，其延长期与不可抗力影响期相同。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不可抗力事件发生后，应立即通知对方，并寄送有关权威机构出具的证明。</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 不可抗力事件延续120天以上，双方应通过友好协商，确定是否继续履行合同。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十五、解决争议的方法</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15.1甲乙双方因合同签订、履行而发生的一切争议，应通过友好协商解决。如协商不成由甲方住所地人民法院管辖。</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十六、合同生效及其它</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 合同经双方法定代表人或授权委托代表人签字并加盖单位公章后生效。</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16.2本合同未尽事宜，遵照《民法典》、《政府采购法》有关条文执行。</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16.3 本合同正本一式两份，具有同等法律效力，甲方、乙方各执一份。</w:t>
      </w:r>
      <w:r/>
    </w:p>
    <w:p>
      <w:pPr>
        <w:ind w:left="480" w:hanging="480"/>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甲方：                        乙方： </w:t>
      </w:r>
      <w:r/>
    </w:p>
    <w:p>
      <w:pP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地址：                        地址： </w:t>
      </w:r>
      <w:r/>
    </w:p>
    <w:p>
      <w:pP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法定代表人或授权代表：        法定代表人或授权代表：</w:t>
      </w:r>
      <w:r/>
    </w:p>
    <w:p>
      <w:pPr>
        <w:ind w:firstLine="240"/>
        <w:spacing w:before="120" w:after="12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rPr>
        <w:t xml:space="preserve">联系电话：                    联系电话：          </w:t>
      </w:r>
      <w:r/>
    </w:p>
    <w:p>
      <w:pPr>
        <w:jc w:val="cente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4"/>
          <w:szCs w:val="24"/>
        </w:rPr>
        <w:t xml:space="preserve">   </w:t>
      </w:r>
      <w:r/>
    </w:p>
    <w:p>
      <w:pPr>
        <w:jc w:val="cente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sz w:val="24"/>
          <w:szCs w:val="24"/>
        </w:rPr>
        <w:t xml:space="preserve">                    签订日期：      年    月   日</w:t>
      </w:r>
      <w:bookmarkStart w:id="190" w:name="_Hlt16619369"/>
      <w:r/>
      <w:bookmarkEnd w:id="190"/>
      <w:r>
        <w:rPr>
          <w:rFonts w:hint="eastAsia" w:asciiTheme="minorEastAsia" w:hAnsiTheme="minorEastAsia" w:eastAsiaTheme="minorEastAsia" w:cstheme="minorEastAsia"/>
          <w:bCs/>
          <w:sz w:val="44"/>
        </w:rPr>
        <w:br w:type="page" w:clear="all"/>
      </w:r>
      <w:bookmarkEnd w:id="187"/>
      <w:bookmarkEnd w:id="188"/>
      <w:bookmarkEnd w:id="189"/>
      <w:r/>
    </w:p>
    <w:p>
      <w:pPr>
        <w:pStyle w:val="927"/>
        <w:rPr>
          <w:rFonts w:hint="eastAsia" w:asciiTheme="minorEastAsia" w:hAnsiTheme="minorEastAsia" w:eastAsiaTheme="minorEastAsia" w:cstheme="minorEastAsia"/>
          <w:b/>
          <w:bCs/>
          <w:sz w:val="44"/>
        </w:rPr>
      </w:pPr>
      <w:r/>
      <w:bookmarkStart w:id="191" w:name="_Toc17950"/>
      <w:r/>
      <w:bookmarkStart w:id="192" w:name="_Toc49090575"/>
      <w:r/>
      <w:bookmarkStart w:id="193" w:name="_Toc120614281"/>
      <w:r/>
      <w:bookmarkStart w:id="194" w:name="_Toc26554093"/>
      <w:r/>
      <w:bookmarkStart w:id="195" w:name="_Toc462564139"/>
      <w:r/>
      <w:bookmarkStart w:id="196" w:name="_Toc479757211"/>
      <w:r>
        <w:rPr>
          <w:rFonts w:hint="eastAsia" w:asciiTheme="minorEastAsia" w:hAnsiTheme="minorEastAsia" w:eastAsiaTheme="minorEastAsia" w:cstheme="minorEastAsia"/>
          <w:b/>
          <w:bCs/>
          <w:sz w:val="44"/>
        </w:rPr>
        <w:t xml:space="preserve">第四章 采购需求</w:t>
      </w:r>
      <w:bookmarkEnd w:id="191"/>
      <w:r/>
      <w:r/>
    </w:p>
    <w:p>
      <w:pPr>
        <w:pStyle w:val="1017"/>
        <w:numPr>
          <w:ilvl w:val="0"/>
          <w:numId w:val="5"/>
        </w:numPr>
        <w:jc w:val="both"/>
        <w:spacing w:line="400" w:lineRule="exact"/>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采购标的</w:t>
      </w:r>
      <w:r/>
    </w:p>
    <w:p>
      <w:pPr>
        <w:spacing w:line="360" w:lineRule="auto"/>
        <w:rPr>
          <w:rFonts w:hint="eastAsia" w:ascii="宋体" w:hAnsi="宋体"/>
          <w:sz w:val="24"/>
          <w:szCs w:val="24"/>
        </w:rPr>
      </w:pPr>
      <w:r>
        <w:rPr>
          <w:rFonts w:ascii="宋体" w:hAnsi="宋体"/>
          <w:bCs/>
          <w:sz w:val="24"/>
          <w:szCs w:val="24"/>
        </w:rPr>
        <w:t xml:space="preserve">1.</w:t>
      </w:r>
      <w:r>
        <w:rPr>
          <w:rFonts w:hint="eastAsia" w:ascii="宋体" w:hAnsi="宋体"/>
          <w:bCs/>
          <w:sz w:val="24"/>
          <w:szCs w:val="24"/>
        </w:rPr>
        <w:t xml:space="preserve">项目名称：</w:t>
      </w:r>
      <w:r>
        <w:rPr>
          <w:rFonts w:hint="eastAsia" w:ascii="宋体" w:hAnsi="宋体"/>
          <w:sz w:val="24"/>
          <w:szCs w:val="24"/>
        </w:rPr>
        <w:t xml:space="preserve">常州旅游商贸高等职业技术学校二期校园网络设备及安装</w:t>
      </w:r>
      <w:r/>
    </w:p>
    <w:p>
      <w:pPr>
        <w:spacing w:line="360" w:lineRule="auto"/>
        <w:rPr>
          <w:rFonts w:hint="eastAsia" w:ascii="宋体" w:hAnsi="宋体"/>
          <w:sz w:val="24"/>
          <w:szCs w:val="24"/>
        </w:rPr>
      </w:pPr>
      <w:r>
        <w:rPr>
          <w:rFonts w:hint="eastAsia" w:ascii="宋体" w:hAnsi="宋体"/>
          <w:sz w:val="24"/>
          <w:szCs w:val="24"/>
        </w:rPr>
        <w:t xml:space="preserve">2.预算金额：</w:t>
      </w:r>
      <w:r>
        <w:rPr>
          <w:rFonts w:hint="eastAsia" w:ascii="宋体" w:hAnsi="宋体"/>
          <w:sz w:val="24"/>
          <w:szCs w:val="24"/>
          <w:lang w:val="en-US" w:eastAsia="zh-CN"/>
        </w:rPr>
        <w:t xml:space="preserve">354.33</w:t>
      </w:r>
      <w:r>
        <w:rPr>
          <w:rFonts w:hint="eastAsia" w:ascii="宋体" w:hAnsi="宋体"/>
          <w:sz w:val="24"/>
          <w:szCs w:val="24"/>
        </w:rPr>
        <w:t xml:space="preserve">5 万元</w:t>
      </w:r>
      <w:r/>
    </w:p>
    <w:tbl>
      <w:tblPr>
        <w:tblStyle w:val="735"/>
        <w:tblW w:w="42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3051"/>
        <w:gridCol w:w="1711"/>
        <w:gridCol w:w="1755"/>
      </w:tblGrid>
      <w:tr>
        <w:trPr>
          <w:jc w:val="center"/>
          <w:trHeight w:val="600"/>
        </w:trPr>
        <w:tc>
          <w:tcPr>
            <w:tcW w:w="459" w:type="pct"/>
            <w:vAlign w:val="center"/>
            <w:textDirection w:val="lrTb"/>
            <w:noWrap w:val="false"/>
          </w:tcPr>
          <w:p>
            <w:pPr>
              <w:jc w:val="center"/>
              <w:spacing w:line="360" w:lineRule="auto"/>
              <w:widowControl/>
              <w:rPr>
                <w:rFonts w:hint="eastAsia" w:ascii="宋体" w:hAnsi="宋体" w:cs="宋体"/>
                <w:lang w:bidi="ar"/>
              </w:rPr>
            </w:pPr>
            <w:r>
              <w:rPr>
                <w:rFonts w:hint="eastAsia" w:ascii="宋体" w:hAnsi="宋体" w:cs="宋体"/>
                <w:lang w:bidi="ar"/>
              </w:rPr>
              <w:t xml:space="preserve">包号</w:t>
            </w:r>
            <w:r/>
          </w:p>
        </w:tc>
        <w:tc>
          <w:tcPr>
            <w:tcW w:w="2125" w:type="pct"/>
            <w:vAlign w:val="center"/>
            <w:textDirection w:val="lrTb"/>
            <w:noWrap w:val="false"/>
          </w:tcPr>
          <w:p>
            <w:pPr>
              <w:jc w:val="center"/>
              <w:spacing w:line="360" w:lineRule="auto"/>
              <w:widowControl/>
              <w:rPr>
                <w:rFonts w:hint="eastAsia" w:ascii="宋体" w:hAnsi="宋体" w:cs="宋体"/>
                <w:lang w:bidi="ar"/>
              </w:rPr>
            </w:pPr>
            <w:r>
              <w:rPr>
                <w:bCs/>
              </w:rPr>
              <w:t xml:space="preserve">标的名称</w:t>
            </w:r>
            <w:r/>
          </w:p>
        </w:tc>
        <w:tc>
          <w:tcPr>
            <w:tcW w:w="1192" w:type="pct"/>
            <w:vAlign w:val="center"/>
            <w:textDirection w:val="lrTb"/>
            <w:noWrap/>
          </w:tcPr>
          <w:p>
            <w:pPr>
              <w:jc w:val="center"/>
              <w:spacing w:line="360" w:lineRule="auto"/>
              <w:rPr>
                <w:bCs/>
              </w:rPr>
            </w:pPr>
            <w:r>
              <w:rPr>
                <w:bCs/>
              </w:rPr>
              <w:t xml:space="preserve">采购包预算金额</w:t>
            </w:r>
            <w:r/>
          </w:p>
          <w:p>
            <w:pPr>
              <w:jc w:val="center"/>
              <w:spacing w:line="360" w:lineRule="auto"/>
              <w:widowControl/>
              <w:rPr>
                <w:rFonts w:hint="eastAsia" w:ascii="宋体" w:hAnsi="宋体" w:cs="宋体"/>
                <w:lang w:bidi="ar"/>
              </w:rPr>
            </w:pPr>
            <w:r>
              <w:rPr>
                <w:bCs/>
              </w:rPr>
              <w:t xml:space="preserve">（万元）</w:t>
            </w:r>
            <w:r/>
          </w:p>
        </w:tc>
        <w:tc>
          <w:tcPr>
            <w:tcW w:w="1222" w:type="pct"/>
            <w:vAlign w:val="center"/>
            <w:textDirection w:val="lrTb"/>
            <w:noWrap/>
          </w:tcPr>
          <w:p>
            <w:pPr>
              <w:jc w:val="center"/>
              <w:spacing w:line="360" w:lineRule="auto"/>
              <w:widowControl/>
              <w:rPr>
                <w:rFonts w:hint="eastAsia" w:ascii="宋体" w:hAnsi="宋体" w:cs="宋体"/>
                <w:lang w:bidi="ar"/>
              </w:rPr>
            </w:pPr>
            <w:r>
              <w:rPr>
                <w:bCs/>
              </w:rPr>
              <w:t xml:space="preserve">采购包</w:t>
            </w:r>
            <w:r>
              <w:rPr>
                <w:rFonts w:hint="eastAsia" w:ascii="宋体" w:hAnsi="宋体" w:cs="宋体"/>
                <w:lang w:bidi="ar"/>
              </w:rPr>
              <w:t xml:space="preserve">最高限额</w:t>
            </w:r>
            <w:r/>
          </w:p>
          <w:p>
            <w:pPr>
              <w:jc w:val="center"/>
              <w:spacing w:line="360" w:lineRule="auto"/>
              <w:widowControl/>
              <w:rPr>
                <w:rFonts w:hint="eastAsia" w:ascii="宋体" w:hAnsi="宋体" w:cs="宋体"/>
                <w:lang w:bidi="ar"/>
              </w:rPr>
            </w:pPr>
            <w:r>
              <w:rPr>
                <w:rFonts w:hint="eastAsia" w:ascii="宋体" w:hAnsi="宋体" w:cs="宋体"/>
                <w:lang w:bidi="ar"/>
              </w:rPr>
              <w:t xml:space="preserve">（万元）</w:t>
            </w:r>
            <w:r/>
          </w:p>
        </w:tc>
      </w:tr>
      <w:tr>
        <w:trPr>
          <w:jc w:val="center"/>
          <w:trHeight w:val="600"/>
        </w:trPr>
        <w:tc>
          <w:tcPr>
            <w:tcW w:w="459" w:type="pct"/>
            <w:vAlign w:val="center"/>
            <w:textDirection w:val="lrTb"/>
            <w:noWrap w:val="false"/>
          </w:tcPr>
          <w:p>
            <w:pPr>
              <w:jc w:val="center"/>
              <w:spacing w:line="360" w:lineRule="auto"/>
              <w:widowControl/>
              <w:rPr>
                <w:rFonts w:hint="eastAsia" w:ascii="宋体" w:hAnsi="宋体" w:eastAsia="宋体" w:cs="宋体"/>
                <w:lang w:eastAsia="zh-CN" w:bidi="ar"/>
              </w:rPr>
            </w:pPr>
            <w:r>
              <w:rPr>
                <w:rFonts w:hint="eastAsia" w:ascii="宋体" w:hAnsi="宋体" w:cs="宋体"/>
                <w:lang w:val="en-US" w:eastAsia="zh-CN" w:bidi="ar"/>
              </w:rPr>
              <w:t xml:space="preserve">1</w:t>
            </w:r>
            <w:r/>
          </w:p>
        </w:tc>
        <w:tc>
          <w:tcPr>
            <w:tcW w:w="2125" w:type="pct"/>
            <w:vAlign w:val="center"/>
            <w:textDirection w:val="lrTb"/>
            <w:noWrap w:val="false"/>
          </w:tcPr>
          <w:p>
            <w:pPr>
              <w:jc w:val="center"/>
              <w:spacing w:line="360" w:lineRule="auto"/>
              <w:rPr>
                <w:rFonts w:hint="eastAsia" w:asciiTheme="minorEastAsia" w:hAnsiTheme="minorEastAsia" w:eastAsiaTheme="minorEastAsia" w:cstheme="minorEastAsia"/>
                <w:color w:val="0000ff"/>
              </w:rPr>
            </w:pPr>
            <w:r>
              <w:rPr>
                <w:rFonts w:hint="eastAsia" w:ascii="宋体" w:hAnsi="宋体"/>
              </w:rPr>
              <w:t xml:space="preserve">常州旅游商贸高等职业技术学校二期校园网络设备及安装</w:t>
            </w:r>
            <w:r/>
          </w:p>
        </w:tc>
        <w:tc>
          <w:tcPr>
            <w:tcW w:w="1192" w:type="pct"/>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354.335</w:t>
            </w:r>
            <w:r/>
          </w:p>
        </w:tc>
        <w:tc>
          <w:tcPr>
            <w:tcW w:w="1222" w:type="pct"/>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354.335</w:t>
            </w:r>
            <w:r/>
          </w:p>
        </w:tc>
      </w:tr>
    </w:tbl>
    <w:p>
      <w:pPr>
        <w:pStyle w:val="736"/>
      </w:pPr>
      <w:r/>
      <w:r/>
    </w:p>
    <w:p>
      <w:pPr>
        <w:numPr>
          <w:ilvl w:val="0"/>
          <w:numId w:val="6"/>
        </w:numPr>
        <w:spacing w:line="360" w:lineRule="auto"/>
        <w:rPr>
          <w:rFonts w:hint="eastAsia" w:ascii="宋体" w:hAnsi="宋体"/>
          <w:sz w:val="24"/>
          <w:szCs w:val="24"/>
        </w:rPr>
      </w:pPr>
      <w:r>
        <w:rPr>
          <w:rFonts w:hint="eastAsia" w:ascii="宋体" w:hAnsi="宋体"/>
          <w:sz w:val="24"/>
          <w:szCs w:val="24"/>
        </w:rPr>
        <w:t xml:space="preserve">采购项目概况（简介）：</w:t>
      </w:r>
      <w:r/>
    </w:p>
    <w:p>
      <w:pPr>
        <w:ind w:firstLine="480"/>
        <w:spacing w:line="360" w:lineRule="auto"/>
        <w:rPr>
          <w:rFonts w:hint="eastAsia" w:ascii="宋体" w:hAnsi="宋体"/>
          <w:sz w:val="24"/>
          <w:szCs w:val="24"/>
        </w:rPr>
      </w:pPr>
      <w:r>
        <w:rPr>
          <w:rFonts w:hint="eastAsia" w:ascii="宋体" w:hAnsi="宋体"/>
          <w:sz w:val="24"/>
          <w:szCs w:val="24"/>
        </w:rPr>
        <w:t xml:space="preserve">常州旅游商贸高等职业技术学校二期校园网络设备及安装项目采用万兆到楼、千兆到桌面、全光入室架构，建设校园网 + 酒店实训网双网独立、统一运维的高性能计算机网络系</w:t>
      </w:r>
      <w:r>
        <w:rPr>
          <w:rFonts w:hint="eastAsia" w:ascii="宋体" w:hAnsi="宋体"/>
          <w:sz w:val="24"/>
          <w:szCs w:val="24"/>
        </w:rPr>
        <w:t xml:space="preserve">统，全面覆盖教学、实训、办公、酒店业务场景。项目以双核心冗余、万兆光传输、无线全覆盖为核心，部署核心交换机、汇聚交换机、光接入设备、多类型无线 AP、无线 AC、POE 交换机及光模块、光纤跳线等全套设备，配套网络运维管理平台与专用服务器，同步完成机房业务交换机部署、一期网络设备升级与利旧整合。项目包含设备供货、安装调试、网络架构优化、有线无线统一认证、链路监测、哑终端管理、系统集成及运维能力提升，建成后可满足校园多业务并发承载、高速稳定接入、安全便捷认证、智能漫游切换、集中可视化管理的数字化校园网络需求。</w:t>
      </w:r>
      <w:r/>
    </w:p>
    <w:p>
      <w:pPr>
        <w:spacing w:line="360" w:lineRule="auto"/>
        <w:rPr>
          <w:rFonts w:hint="eastAsia" w:ascii="宋体" w:hAnsi="宋体"/>
          <w:sz w:val="24"/>
          <w:szCs w:val="24"/>
        </w:rPr>
      </w:pPr>
      <w:r>
        <w:rPr>
          <w:rFonts w:hint="eastAsia" w:ascii="宋体" w:hAnsi="宋体"/>
          <w:sz w:val="24"/>
          <w:szCs w:val="24"/>
        </w:rPr>
        <w:t xml:space="preserve">4.合同履行期限：自合同签订生效之日起、项目验收合格之日止；</w:t>
      </w:r>
      <w:r/>
    </w:p>
    <w:p>
      <w:pPr>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rPr>
        <w:t xml:space="preserve">是/否接受联合体投标： 否  ；</w:t>
      </w:r>
      <w:r/>
    </w:p>
    <w:p>
      <w:pPr>
        <w:spacing w:line="360" w:lineRule="auto"/>
        <w:rPr>
          <w:rFonts w:hint="eastAsia" w:ascii="宋体" w:hAnsi="宋体"/>
          <w:bCs/>
          <w:sz w:val="24"/>
          <w:szCs w:val="24"/>
        </w:rPr>
      </w:pPr>
      <w:r>
        <w:rPr>
          <w:rFonts w:hint="eastAsia" w:ascii="宋体" w:hAnsi="宋体"/>
          <w:sz w:val="24"/>
          <w:szCs w:val="24"/>
        </w:rPr>
        <w:t xml:space="preserve">6.</w:t>
      </w:r>
      <w:r>
        <w:rPr>
          <w:sz w:val="24"/>
        </w:rPr>
        <w:t xml:space="preserve">是</w:t>
      </w:r>
      <w:r>
        <w:rPr>
          <w:rFonts w:hint="eastAsia"/>
          <w:sz w:val="24"/>
        </w:rPr>
        <w:t xml:space="preserve">/</w:t>
      </w:r>
      <w:r>
        <w:rPr>
          <w:sz w:val="24"/>
        </w:rPr>
        <w:t xml:space="preserve">否接受分支机构参与响应</w:t>
      </w:r>
      <w:r>
        <w:rPr>
          <w:rFonts w:ascii="宋体" w:hAnsi="宋体"/>
          <w:sz w:val="24"/>
          <w:szCs w:val="24"/>
        </w:rPr>
        <w:t xml:space="preserve">：</w:t>
      </w:r>
      <w:r>
        <w:rPr>
          <w:rFonts w:ascii="宋体" w:hAnsi="宋体"/>
          <w:bCs/>
          <w:sz w:val="24"/>
          <w:szCs w:val="24"/>
        </w:rPr>
        <w:t xml:space="preserve">否</w:t>
      </w:r>
      <w:r>
        <w:rPr>
          <w:rFonts w:hint="eastAsia" w:ascii="宋体" w:hAnsi="宋体"/>
          <w:bCs/>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7.</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ascii="宋体" w:hAnsi="宋体"/>
          <w:sz w:val="24"/>
          <w:szCs w:val="24"/>
        </w:rPr>
        <w:t xml:space="preserve">：</w:t>
      </w:r>
      <w:r>
        <w:rPr>
          <w:rFonts w:hint="eastAsia" w:ascii="宋体" w:hAnsi="宋体"/>
          <w:sz w:val="24"/>
          <w:szCs w:val="24"/>
        </w:rPr>
        <w:t xml:space="preserve">否；</w:t>
      </w:r>
      <w:r/>
    </w:p>
    <w:p>
      <w:pPr>
        <w:spacing w:line="360" w:lineRule="auto"/>
        <w:rPr>
          <w:rFonts w:hint="eastAsia" w:ascii="宋体" w:hAnsi="宋体"/>
          <w:sz w:val="24"/>
          <w:szCs w:val="24"/>
        </w:rPr>
      </w:pPr>
      <w:r>
        <w:rPr>
          <w:rFonts w:hint="eastAsia" w:ascii="宋体" w:hAnsi="宋体"/>
          <w:sz w:val="24"/>
          <w:szCs w:val="24"/>
        </w:rPr>
        <w:t xml:space="preserve">8.</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szCs w:val="24"/>
        </w:rPr>
        <w:t xml:space="preserve">：</w:t>
      </w:r>
      <w:r>
        <w:rPr>
          <w:rFonts w:ascii="宋体" w:hAnsi="宋体"/>
          <w:sz w:val="24"/>
          <w:szCs w:val="24"/>
        </w:rPr>
        <w:t xml:space="preserve">否</w:t>
      </w:r>
      <w:r>
        <w:rPr>
          <w:rFonts w:hint="eastAsia"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9.</w:t>
      </w:r>
      <w:r>
        <w:rPr>
          <w:rFonts w:hint="eastAsia"/>
          <w:sz w:val="24"/>
        </w:rPr>
        <w:t xml:space="preserve">是/否</w:t>
      </w:r>
      <w:r>
        <w:rPr>
          <w:sz w:val="24"/>
        </w:rPr>
        <w:t xml:space="preserve">专门面向中小企业预留采购份额</w:t>
      </w:r>
      <w:r>
        <w:rPr>
          <w:rFonts w:hint="eastAsia" w:ascii="宋体" w:hAnsi="宋体"/>
          <w:sz w:val="24"/>
          <w:szCs w:val="24"/>
        </w:rPr>
        <w:t xml:space="preserve">：否；</w:t>
      </w:r>
      <w:r/>
    </w:p>
    <w:p>
      <w:pPr>
        <w:spacing w:line="360" w:lineRule="auto"/>
        <w:rPr>
          <w:sz w:val="24"/>
        </w:rPr>
      </w:pPr>
      <w:r>
        <w:rPr>
          <w:rFonts w:hint="eastAsia"/>
          <w:sz w:val="24"/>
        </w:rPr>
        <w:t xml:space="preserve">10.本项目的特定资格要求：无；</w:t>
      </w:r>
      <w:r/>
    </w:p>
    <w:p>
      <w:pPr>
        <w:spacing w:line="360" w:lineRule="auto"/>
        <w:rPr>
          <w:sz w:val="24"/>
        </w:rPr>
      </w:pPr>
      <w:r>
        <w:rPr>
          <w:rFonts w:hint="eastAsia"/>
          <w:sz w:val="24"/>
        </w:rPr>
        <w:t xml:space="preserve">11.项目类别：货物类；</w:t>
      </w:r>
      <w:r/>
    </w:p>
    <w:p>
      <w:pPr>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12.其他，统一安排现场踏勘，时间：2026年 </w:t>
      </w:r>
      <w:r>
        <w:rPr>
          <w:rFonts w:hint="eastAsia" w:asciiTheme="minorEastAsia" w:hAnsiTheme="minorEastAsia" w:eastAsiaTheme="minorEastAsia" w:cstheme="minorEastAsia"/>
          <w:b/>
          <w:bCs/>
          <w:sz w:val="24"/>
          <w:lang w:val="en-US" w:eastAsia="zh-CN"/>
        </w:rPr>
        <w:t xml:space="preserve">6</w:t>
      </w:r>
      <w:r>
        <w:rPr>
          <w:rFonts w:hint="eastAsia" w:asciiTheme="minorEastAsia" w:hAnsiTheme="minorEastAsia" w:eastAsiaTheme="minorEastAsia" w:cstheme="minorEastAsia"/>
          <w:b/>
          <w:bCs/>
          <w:sz w:val="24"/>
        </w:rPr>
        <w:t xml:space="preserve">月</w:t>
      </w:r>
      <w:r>
        <w:rPr>
          <w:rFonts w:hint="eastAsia" w:asciiTheme="minorEastAsia" w:hAnsiTheme="minorEastAsia" w:eastAsiaTheme="minorEastAsia" w:cstheme="minorEastAsia"/>
          <w:b/>
          <w:bCs/>
          <w:sz w:val="24"/>
          <w:lang w:val="en-US" w:eastAsia="zh-CN"/>
        </w:rPr>
        <w:t xml:space="preserve">2</w:t>
      </w:r>
      <w:r>
        <w:rPr>
          <w:rFonts w:hint="eastAsia" w:asciiTheme="minorEastAsia" w:hAnsiTheme="minorEastAsia" w:eastAsiaTheme="minorEastAsia" w:cstheme="minorEastAsia"/>
          <w:b/>
          <w:bCs/>
          <w:sz w:val="24"/>
        </w:rPr>
        <w:t xml:space="preserve"> 日  8点00分-16点00分，采购单位联系人见（联系方式见采购文件第一章）。</w:t>
      </w:r>
      <w:r/>
    </w:p>
    <w:p>
      <w:pPr>
        <w:pStyle w:val="1017"/>
        <w:numPr>
          <w:ilvl w:val="0"/>
          <w:numId w:val="5"/>
        </w:numPr>
        <w:jc w:val="both"/>
        <w:spacing w:line="400" w:lineRule="exact"/>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政府采购中实施本国产品标准及相关政策</w:t>
      </w:r>
      <w:r/>
    </w:p>
    <w:p>
      <w:pPr>
        <w:pStyle w:val="1017"/>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1.本项目对采购本国产品给予政策支持，具体内容见招标文件“第五章 评标方法与评标标准”。</w:t>
      </w:r>
      <w:r/>
    </w:p>
    <w:p>
      <w:pPr>
        <w:pStyle w:val="1017"/>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7"/>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17"/>
        <w:numPr>
          <w:ilvl w:val="0"/>
          <w:numId w:val="5"/>
        </w:numPr>
        <w:jc w:val="both"/>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商务要求（本部分内容所有条款均为实质性要求）</w:t>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6143"/>
      </w:tblGrid>
      <w:tr>
        <w:trPr>
          <w:trHeight w:val="2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条款名称</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具体要求</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合同主体</w:t>
            </w:r>
            <w:r/>
          </w:p>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与付款单位</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宋体" w:hAnsi="宋体" w:cs="宋体"/>
              </w:rPr>
              <w:t xml:space="preserve">本项目合同主体与付款单位为：</w:t>
            </w:r>
            <w:r>
              <w:rPr>
                <w:rFonts w:hint="eastAsia" w:asciiTheme="minorEastAsia" w:hAnsiTheme="minorEastAsia" w:eastAsiaTheme="minorEastAsia" w:cstheme="minorEastAsia"/>
              </w:rPr>
              <w:t xml:space="preserve">常州旅游商贸高等职业技术学校</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项目质保要求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项目免费质保期：自验收合格之日起至少三年原厂质保，签订合同前应将下列材料送达采购人（联系方式见采购文件第一章）：</w:t>
            </w:r>
            <w:r>
              <w:rPr>
                <w:rFonts w:hint="eastAsia"/>
              </w:rPr>
              <w:t xml:space="preserve">（1）</w:t>
            </w:r>
            <w:r>
              <w:rPr>
                <w:rFonts w:hint="eastAsia"/>
                <w:color w:val="auto"/>
              </w:rPr>
              <w:t xml:space="preserve">提供</w:t>
            </w:r>
            <w:r>
              <w:rPr>
                <w:rFonts w:hint="eastAsia"/>
                <w:color w:val="auto"/>
                <w:lang w:val="en-US" w:eastAsia="zh-CN"/>
              </w:rPr>
              <w:t xml:space="preserve">指定</w:t>
            </w:r>
            <w:r>
              <w:rPr>
                <w:rFonts w:hint="eastAsia"/>
                <w:color w:val="auto"/>
              </w:rPr>
              <w:t xml:space="preserve">所投产品</w:t>
            </w:r>
            <w:r>
              <w:rPr>
                <w:rFonts w:hint="eastAsia" w:ascii="宋体" w:hAnsi="宋体" w:cs="宋体"/>
                <w:b/>
                <w:bCs/>
                <w:color w:val="auto"/>
              </w:rPr>
              <w:t xml:space="preserve">质保函原件</w:t>
            </w:r>
            <w:r>
              <w:rPr>
                <w:rFonts w:hint="eastAsia"/>
                <w:color w:val="auto"/>
              </w:rPr>
              <w:t xml:space="preserve">(加盖原厂鲜章，同时应提供原厂联系人姓名和联系电话)。</w:t>
            </w:r>
            <w:r>
              <w:rPr>
                <w:rFonts w:hint="eastAsia" w:asciiTheme="minorEastAsia" w:hAnsiTheme="minorEastAsia" w:eastAsiaTheme="minorEastAsia" w:cstheme="minorEastAsia"/>
              </w:rPr>
              <w:t xml:space="preserve">（2）国家相关标准另有规定的从其规定。</w:t>
            </w:r>
            <w:r/>
          </w:p>
          <w:p>
            <w:pPr>
              <w:spacing w:line="400" w:lineRule="exact"/>
              <w:rPr>
                <w:rFonts w:hint="eastAsia" w:ascii="宋体" w:hAnsi="宋体" w:cs="宋体"/>
                <w:b/>
                <w:bCs/>
              </w:rPr>
            </w:pPr>
            <w:r>
              <w:rPr>
                <w:rFonts w:hint="eastAsia" w:ascii="宋体" w:hAnsi="宋体" w:cs="宋体"/>
                <w:b/>
                <w:bCs/>
              </w:rPr>
              <w:t xml:space="preserve">若在合同签订前核查发现供应商未按要求提供材料，或所提供材料存在以下情形之一的，视为不具备履约能力，采购人应及时报相关部门处置。</w:t>
            </w:r>
            <w:r/>
          </w:p>
          <w:p>
            <w:pPr>
              <w:spacing w:line="400" w:lineRule="exact"/>
              <w:rPr>
                <w:rFonts w:hint="eastAsia" w:ascii="宋体" w:hAnsi="宋体" w:cs="宋体"/>
                <w:b/>
                <w:bCs/>
              </w:rPr>
            </w:pPr>
            <w:r>
              <w:rPr>
                <w:rFonts w:hint="eastAsia" w:ascii="宋体" w:hAnsi="宋体" w:cs="宋体"/>
                <w:b/>
                <w:bCs/>
              </w:rPr>
              <w:t xml:space="preserve">① 材料形式有瑕疵，但内容真实、可补正的，采购人书面通知供应商在法定签订合同截止时间前一次性补正，逾期未补正或补正仍不符合要求的。</w:t>
            </w:r>
            <w:r/>
          </w:p>
          <w:p>
            <w:pPr>
              <w:spacing w:line="400" w:lineRule="exact"/>
              <w:rPr>
                <w:rFonts w:hint="eastAsia" w:asciiTheme="minorEastAsia" w:hAnsiTheme="minorEastAsia" w:eastAsiaTheme="minorEastAsia" w:cstheme="minorEastAsia"/>
              </w:rPr>
            </w:pPr>
            <w:r>
              <w:rPr>
                <w:rFonts w:hint="eastAsia" w:ascii="宋体" w:hAnsi="宋体" w:cs="宋体"/>
                <w:b/>
                <w:bCs/>
              </w:rPr>
              <w:t xml:space="preserve">② 所投产品确系原厂生产，但因制造商内部流程原因暂无法提供质保函或原厂证明（如企业审批延迟），且能提供有效佐证（如邮件、系统截图、代理协议等）的，经采购人书面同意在法定签订合同截止时间前提交，逾期仍未提交的。</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 质保条款：</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（1）项目质保期内所有产品第一个月出现故障整机更换；</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（2）原厂质保期内提供免费返厂维修服务；</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（3）项目质保期内提供设备定期巡检、维护等服务（提供每月一次电话回访，每学期至少一次免费巡检服务，发现问题及时解决）；</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（4）项目质保期后提供设备零件成本价维修服务。</w:t>
            </w:r>
            <w:r/>
          </w:p>
        </w:tc>
      </w:tr>
      <w:tr>
        <w:trPr>
          <w:trHeight w:val="185"/>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合同签订</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中标人应当在中标通知书发出之日起三十日内完成合同签订。</w:t>
            </w:r>
            <w:r/>
          </w:p>
        </w:tc>
      </w:tr>
      <w:tr>
        <w:trPr>
          <w:trHeight w:val="9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工期要求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自合同签订生效之日起、截止</w:t>
            </w:r>
            <w:r>
              <w:rPr>
                <w:rFonts w:hint="eastAsia" w:asciiTheme="minorEastAsia" w:hAnsiTheme="minorEastAsia" w:eastAsiaTheme="minorEastAsia" w:cstheme="minorEastAsia"/>
                <w:color w:val="ff0000"/>
              </w:rPr>
              <w:t xml:space="preserve">2026年 </w:t>
            </w:r>
            <w:r>
              <w:rPr>
                <w:rFonts w:hint="eastAsia" w:asciiTheme="minorEastAsia" w:hAnsiTheme="minorEastAsia" w:eastAsiaTheme="minorEastAsia" w:cstheme="minorEastAsia"/>
                <w:color w:val="ff0000"/>
                <w:lang w:val="en-US" w:eastAsia="zh-CN"/>
              </w:rPr>
              <w:t xml:space="preserve">8</w:t>
            </w:r>
            <w:r>
              <w:rPr>
                <w:rFonts w:hint="eastAsia" w:asciiTheme="minorEastAsia" w:hAnsiTheme="minorEastAsia" w:eastAsiaTheme="minorEastAsia" w:cstheme="minorEastAsia"/>
                <w:color w:val="ff0000"/>
              </w:rPr>
              <w:t xml:space="preserve">月 30 日前</w:t>
            </w:r>
            <w:r>
              <w:rPr>
                <w:rFonts w:hint="eastAsia" w:asciiTheme="minorEastAsia" w:hAnsiTheme="minorEastAsia" w:eastAsiaTheme="minorEastAsia" w:cstheme="minorEastAsia"/>
              </w:rPr>
              <w:t xml:space="preserve">完成设备安装和调试。安装调试完进行为期不少于一个月的试运行时间，试运行各项功能正常后提请验收。因采购方或其他承包商原因导致工期延误的，经书面确认后工期顺延，不追究供应商责任。</w:t>
            </w:r>
            <w:r/>
          </w:p>
        </w:tc>
      </w:tr>
      <w:tr>
        <w:trPr>
          <w:trHeight w:val="211"/>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交货地点</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 中标供应商负责将货物运到采购人指定地点，由中标供应商负责办理运输和装卸等，费用由中标供应商负责。</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 由采购人指定的实际安装的学校按国家及行业相关标准及采购文件验收条款组织验收，检验不合格或不符合质量要求，中标供应商除无条件退货、返工外，还应承担采购人的一切损失。</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 中标供应商所提供的货物开箱后，如采购人发现有任何质量问题（如外观损伤、功能不齐全、无法正常使用等），中标供应商必须立即以同样型号的设备在与采购人商定的时间内更换，确保其使用。</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 如因不可抗力无法在规定时间内提供成交货物，中标供应商应提前15天书面告知采购人。</w:t>
            </w:r>
            <w:r/>
          </w:p>
        </w:tc>
      </w:tr>
      <w:tr>
        <w:trPr>
          <w:trHeight w:val="21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售后服务</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中标人提供7*24小时免费上门服务，接到用户通报故障的电话或传真后1小时之内响应服务，2小时内能到现场解决问题；若货物故障在检修8 工作小时后仍无法排除，乙方应在48 小时内免费提供不低于故障货物规格型号档次的备用货物供甲方使用，直至故障货物修复。填写巡视记录、网络检修记录、故障报修记录，并通知相关负责人确认。质保期后，中标人提供全生命周期内的服务，在设备的设计使用寿命周期内，中标人应能保证采购人更换到原厂正宗的备件材料，确保设备的正常使用。</w:t>
            </w:r>
            <w:r/>
          </w:p>
        </w:tc>
      </w:tr>
      <w:tr>
        <w:trPr>
          <w:trHeight w:val="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培训要求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免费提供设备使用培训，培训时间和地点由本项目设备使用的各校确定。</w:t>
            </w:r>
            <w:r/>
          </w:p>
        </w:tc>
      </w:tr>
      <w:tr>
        <w:trPr>
          <w:trHeight w:val="416"/>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安装调试及验收要求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1.安装辅材：采购清单以外的安装所需辅材由乙方提供，不另外收费。</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2.中标供应商负责在采购人指定现场进行设备的卸货、安装与调试，并自备设备安装所需器材、器件。</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3.中标供应商应对进场施工人员进行技术、安全、思想和法规教育，教育施工人员树立“质量第一，安全第一”的正确思想，使其遵守有关施工和安全的技术法规等。</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中标供应商必须切实做好安全工作，加强安装作业时的安全保障，在任何情况下都要注意安全。涉及安全问题的必须用醒目的标志加以提醒，一切安全事故均由中标供应商自行负责，与采购人均无关。项目结束后按采购人要求将现场的垃圾、残余材料运送至指定位置，保证现场环境整洁。</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设备验收在中标供应商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中标供应商负责解决，由此产生的一切费用由中标供应商承担。实物验收合格后，双方在实物验收单上签字。</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验收内容包含产品参数、技术与采购文件及投标文件相符，外观完好，安装牢固美观。有无按采购人要求安装在指定位置。各项功能使用是否流畅、精准，合格率达100%为验收合格，验收不合格产品由中标供应商负责调换，因此产生的全部费用由中标供应商承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7.验收时对所有的货物进行验收，做好验收记录，对验收合格的内容，参加验收的人员应在验收记录上签字确认。</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 xml:space="preserve">8.所供货物必须是全新的，原装正品，提供出厂合格证。</w:t>
            </w:r>
            <w:r>
              <w:rPr>
                <w:rFonts w:hint="eastAsia" w:asciiTheme="minorEastAsia" w:hAnsiTheme="minorEastAsia" w:eastAsiaTheme="minorEastAsia" w:cstheme="minorEastAsia"/>
              </w:rPr>
              <w:t xml:space="preserve">因产品质量或安装不当导致验收不合格，应及时处理直至验收合格，因此产生的一切费用由中标方承担。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9.验收时采购人可以邀请第三方进行联合验收、可以进行随机抽样检测。</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10.若验收不合格，则由中标供应商承担所有验收产生的检测费用。</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11.验收前一般应不少于1个月的试运行周期。</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12.按照关于印发《江苏省政府采购履约验收管理办法》的通知（苏财规〔2024〕7号）进行验收，详见验收要求。</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包装和运输</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货物类必须要求供应商满足《关于印发〈商品包装政府采购需求标准（试行）〉、〈快递包装政府采购需求标准（试行）〉的通知》（财办库〔2020〕123号））的规定。</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保险</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付款条件</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付款方式：验收合格，提供采购人签字盖章的验收材料，全款付清。</w:t>
            </w:r>
            <w:r/>
          </w:p>
        </w:tc>
      </w:tr>
      <w:tr>
        <w:trPr>
          <w:trHeight w:val="58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numPr>
                <w:ilvl w:val="0"/>
                <w:numId w:val="7"/>
              </w:num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本项目为包干制（含各类人工、材料、脚手架、登高设备、安全设备、必备工具、测试等），投标人报价为完成本项目的总报价，不再另外收取任何费用。</w:t>
            </w:r>
            <w:r/>
          </w:p>
          <w:p>
            <w:pPr>
              <w:spacing w:line="400" w:lineRule="exact"/>
              <w:widowControl/>
              <w:rPr>
                <w:rFonts w:hint="eastAsia" w:ascii="宋体" w:hAnsi="宋体" w:cs="宋体"/>
              </w:rPr>
            </w:pPr>
            <w:r>
              <w:rPr>
                <w:rFonts w:hint="eastAsia" w:ascii="宋体" w:hAnsi="宋体" w:cs="宋体"/>
              </w:rPr>
              <w:t xml:space="preserve">2.凡采购文件要求提供第三方检测报告的，供应商所提交的检测报告须由具备有效CMA资质的检测机构出具，且检测项目、检测方法及依据标准必须在该机构最新版《资质认定能力附表》范围内。检测报告依据的标准应符合采购文件约定的标准，包括相关国家标准、行业标准、地方标准、国际通用标准（ISO、IEC、ITU）等。</w:t>
            </w:r>
            <w:r>
              <w:rPr>
                <w:rFonts w:hint="eastAsia" w:ascii="宋体" w:hAnsi="宋体" w:cs="宋体"/>
                <w:b/>
                <w:bCs/>
              </w:rPr>
              <w:t xml:space="preserve">投标时须同步提供：① 检测报告原件扫描件加盖公章。② 检测机构有效CMA资质证书扫描件。</w:t>
            </w:r>
            <w:r>
              <w:rPr>
                <w:rFonts w:hint="eastAsia" w:ascii="微软雅黑" w:hAnsi="微软雅黑" w:eastAsia="微软雅黑" w:cs="微软雅黑"/>
                <w:b/>
                <w:bCs/>
              </w:rPr>
              <w:t xml:space="preserve">③</w:t>
            </w:r>
            <w:r>
              <w:rPr>
                <w:rFonts w:hint="eastAsia" w:ascii="宋体" w:hAnsi="宋体" w:cs="宋体"/>
                <w:b/>
                <w:bCs/>
              </w:rPr>
              <w:t xml:space="preserve">检测机构与所涉检测项目的检测能力证明：检测机构对应《资质认定能力附表》所在页的扫描件、或全国市场监督管理总局网站（全国认证认可信息服务平台）对应截图并加盖投标人公章、或省级市场监督管理局网站对应截图并加盖投标人公章。</w:t>
            </w:r>
            <w:r>
              <w:rPr>
                <w:rFonts w:hint="eastAsia" w:ascii="微软雅黑" w:hAnsi="微软雅黑" w:eastAsia="微软雅黑" w:cs="微软雅黑"/>
                <w:b/>
                <w:bCs/>
              </w:rPr>
              <w:t xml:space="preserve">④检</w:t>
            </w:r>
            <w:r>
              <w:rPr>
                <w:rFonts w:hint="eastAsia" w:ascii="宋体" w:hAnsi="宋体" w:cs="宋体"/>
                <w:b/>
                <w:bCs/>
              </w:rPr>
              <w:t xml:space="preserve">测报告含CMA认定标志页面。</w:t>
            </w:r>
            <w:r/>
          </w:p>
          <w:p>
            <w:pPr>
              <w:spacing w:line="400" w:lineRule="exact"/>
              <w:widowControl/>
              <w:rPr>
                <w:rFonts w:hint="eastAsia" w:ascii="宋体" w:hAnsi="宋体" w:cs="宋体"/>
              </w:rPr>
            </w:pPr>
            <w:r>
              <w:rPr>
                <w:rFonts w:hint="eastAsia" w:ascii="宋体" w:hAnsi="宋体" w:cs="宋体"/>
              </w:rPr>
              <w:t xml:space="preserve">未按要求提供上述材料的，相关检测报告视为无效佐证材料。</w:t>
            </w:r>
            <w:r/>
          </w:p>
          <w:p>
            <w:pPr>
              <w:spacing w:line="400" w:lineRule="exact"/>
              <w:widowControl/>
              <w:rPr>
                <w:rFonts w:hint="eastAsia" w:ascii="宋体" w:hAnsi="宋体" w:cs="宋体"/>
              </w:rPr>
            </w:pPr>
            <w:r>
              <w:rPr>
                <w:rFonts w:hint="eastAsia" w:ascii="宋体" w:hAnsi="宋体" w:cs="宋体"/>
                <w:b/>
                <w:bCs/>
              </w:rPr>
              <w:t xml:space="preserve">3.中标公告发布后五个工作日内</w:t>
            </w:r>
            <w:r>
              <w:rPr>
                <w:rFonts w:hint="eastAsia" w:ascii="宋体" w:hAnsi="宋体" w:cs="宋体"/>
              </w:rPr>
              <w:t xml:space="preserve">，中标候选供应商应将下列材料送达采购人：采购文件中要求投标时提供的</w:t>
            </w:r>
            <w:r>
              <w:rPr>
                <w:rFonts w:hint="eastAsia" w:ascii="宋体" w:hAnsi="宋体" w:cs="宋体"/>
                <w:b/>
                <w:bCs/>
              </w:rPr>
              <w:t xml:space="preserve">全文检测报告</w:t>
            </w:r>
            <w:r>
              <w:rPr>
                <w:rFonts w:hint="eastAsia" w:ascii="宋体" w:hAnsi="宋体" w:cs="宋体"/>
              </w:rPr>
              <w:t xml:space="preserve">及相关证明材料复印件并</w:t>
            </w:r>
            <w:r>
              <w:rPr>
                <w:rFonts w:hint="eastAsia" w:ascii="宋体" w:hAnsi="宋体" w:cs="宋体"/>
                <w:b/>
                <w:bCs/>
              </w:rPr>
              <w:t xml:space="preserve">加盖所投品牌原厂鲜章（同时应提供原厂联系人姓名和联系电话）</w:t>
            </w:r>
            <w:r>
              <w:rPr>
                <w:rFonts w:hint="eastAsia" w:ascii="宋体" w:hAnsi="宋体" w:cs="宋体"/>
              </w:rPr>
              <w:t xml:space="preserve">。若提交的材料不符合要求的，应在三个工作日内进行补正。采购人按以下流程进行核查：</w:t>
            </w:r>
            <w:r>
              <w:rPr>
                <w:rFonts w:hint="eastAsia" w:ascii="宋体" w:hAnsi="宋体" w:cs="宋体"/>
              </w:rPr>
              <w:tab/>
            </w:r>
            <w:r/>
          </w:p>
          <w:p>
            <w:pPr>
              <w:numPr>
                <w:ilvl w:val="1"/>
                <w:numId w:val="7"/>
              </w:numPr>
              <w:spacing w:line="400" w:lineRule="exact"/>
              <w:widowControl/>
              <w:rPr>
                <w:rFonts w:hint="eastAsia" w:ascii="宋体" w:hAnsi="宋体" w:cs="宋体"/>
              </w:rPr>
            </w:pPr>
            <w:r>
              <w:rPr>
                <w:rFonts w:hint="eastAsia" w:ascii="宋体" w:hAnsi="宋体" w:cs="宋体"/>
              </w:rPr>
              <w:t xml:space="preserve">查询。登录全国认证认可信息公共服务平台或省级监管服务平台（如苏检通），查询的内容包括但不限于以下内容：检测机构的CMA资质证书及与检测项目相对应的检测能力范围、检测报告编号等。</w:t>
            </w:r>
            <w:r/>
          </w:p>
          <w:p>
            <w:pPr>
              <w:numPr>
                <w:ilvl w:val="1"/>
                <w:numId w:val="7"/>
              </w:numPr>
              <w:spacing w:line="400" w:lineRule="exact"/>
              <w:widowControl/>
              <w:rPr>
                <w:rFonts w:hint="eastAsia" w:ascii="宋体" w:hAnsi="宋体" w:cs="宋体"/>
              </w:rPr>
            </w:pPr>
            <w:r>
              <w:rPr>
                <w:rFonts w:hint="eastAsia" w:ascii="宋体" w:hAnsi="宋体" w:cs="宋体"/>
              </w:rPr>
              <w:t xml:space="preserve">验证。扫描检测报告首页或封面带有 CMA 标志二维码、电话咨询发证机关，或提请本地市场监管部门协助验证。</w:t>
            </w:r>
            <w:r/>
          </w:p>
          <w:p>
            <w:pPr>
              <w:numPr>
                <w:ilvl w:val="1"/>
                <w:numId w:val="7"/>
              </w:numPr>
              <w:spacing w:line="400" w:lineRule="exact"/>
              <w:widowControl/>
              <w:rPr>
                <w:rFonts w:hint="eastAsia" w:ascii="宋体" w:hAnsi="宋体" w:cs="宋体"/>
              </w:rPr>
            </w:pPr>
            <w:r>
              <w:rPr>
                <w:rFonts w:hint="eastAsia" w:ascii="宋体" w:hAnsi="宋体" w:cs="宋体"/>
              </w:rPr>
              <w:t xml:space="preserve">协查。当采购人发现检测报告超出检测机构检测能力范围，或怀疑假检测报告真实性，及时向本地市场监管部门提供线索并请求协查，并获得协查结果。</w:t>
            </w:r>
            <w:r/>
          </w:p>
          <w:p>
            <w:pPr>
              <w:ind w:firstLine="420"/>
              <w:spacing w:line="400" w:lineRule="exact"/>
              <w:widowControl/>
              <w:rPr>
                <w:rFonts w:hint="eastAsia" w:ascii="宋体" w:hAnsi="宋体" w:cs="宋体"/>
              </w:rPr>
            </w:pPr>
            <w:r>
              <w:rPr>
                <w:rFonts w:hint="eastAsia" w:ascii="宋体" w:hAnsi="宋体" w:cs="宋体"/>
              </w:rPr>
              <w:t xml:space="preserve">如发现以下情况 ，采购人应及时报相关部门处置。（1）证书已过期、被撤销，或无法提供任何佐证的。（2）逾期未补正或补正仍不符合要求的；（3）材料内容不实、伪造、或所投产品与投标响应不符（如品牌、型号、技术参数等虚假）。</w:t>
            </w:r>
            <w:r/>
          </w:p>
          <w:p>
            <w:pPr>
              <w:ind w:firstLine="420"/>
              <w:spacing w:line="400" w:lineRule="exact"/>
              <w:widowControl/>
              <w:rPr>
                <w:rFonts w:hint="eastAsia" w:ascii="宋体" w:hAnsi="宋体" w:cs="宋体"/>
              </w:rPr>
            </w:pPr>
            <w:r>
              <w:rPr>
                <w:rFonts w:hint="eastAsia" w:ascii="宋体" w:hAnsi="宋体" w:cs="宋体"/>
              </w:rPr>
              <w:t xml:space="preserve">补正内容不能超出投标文件所提供材料的范围。检验检测机构已注销，但检测机构有效期内出具的有效检测报告应认定为有效。</w:t>
            </w:r>
            <w:r/>
          </w:p>
          <w:p>
            <w:p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4.中标供应商应将电子</w:t>
            </w:r>
            <w:r>
              <w:rPr>
                <w:rFonts w:hint="eastAsia" w:asciiTheme="minorEastAsia" w:hAnsiTheme="minorEastAsia" w:eastAsiaTheme="minorEastAsia" w:cstheme="minorEastAsia"/>
                <w:lang w:val="en-US" w:eastAsia="zh-CN"/>
              </w:rPr>
              <w:t xml:space="preserve">投标</w:t>
            </w:r>
            <w:r>
              <w:rPr>
                <w:rFonts w:hint="eastAsia" w:asciiTheme="minorEastAsia" w:hAnsiTheme="minorEastAsia" w:eastAsiaTheme="minorEastAsia" w:cstheme="minorEastAsia"/>
              </w:rPr>
              <w:t xml:space="preserve">文件打印成纸质稿（编制页码打印并胶装），一式两份，分别递交至代理机构和采购人处（邮寄或当面送达)。未及时提供纸质</w:t>
            </w:r>
            <w:r>
              <w:rPr>
                <w:rFonts w:hint="eastAsia" w:asciiTheme="minorEastAsia" w:hAnsiTheme="minorEastAsia" w:eastAsiaTheme="minorEastAsia" w:cstheme="minorEastAsia"/>
                <w:lang w:eastAsia="zh-CN"/>
              </w:rPr>
              <w:t xml:space="preserve">投标</w:t>
            </w:r>
            <w:r>
              <w:rPr>
                <w:rFonts w:hint="eastAsia" w:asciiTheme="minorEastAsia" w:hAnsiTheme="minorEastAsia" w:eastAsiaTheme="minorEastAsia" w:cstheme="minorEastAsia"/>
              </w:rPr>
              <w:t xml:space="preserve">文件将可能影响合同签订，由此造成的后果及损失供应商自行负责。</w:t>
            </w:r>
            <w:r/>
          </w:p>
        </w:tc>
      </w:tr>
    </w:tbl>
    <w:p>
      <w:pPr>
        <w:rPr>
          <w:rFonts w:hint="eastAsia" w:asciiTheme="minorEastAsia" w:hAnsiTheme="minorEastAsia" w:eastAsiaTheme="minorEastAsia" w:cstheme="minorEastAsia"/>
          <w:b/>
          <w:i/>
          <w:sz w:val="24"/>
        </w:rPr>
      </w:pPr>
      <w:r>
        <w:rPr>
          <w:rFonts w:hint="eastAsia" w:asciiTheme="minorEastAsia" w:hAnsiTheme="minorEastAsia" w:eastAsiaTheme="minorEastAsia" w:cstheme="minorEastAsia"/>
          <w:b/>
          <w:i/>
          <w:sz w:val="24"/>
        </w:rPr>
      </w:r>
      <w:r/>
    </w:p>
    <w:p>
      <w:pPr>
        <w:pStyle w:val="1017"/>
        <w:numPr>
          <w:ilvl w:val="0"/>
          <w:numId w:val="5"/>
        </w:numPr>
        <w:ind w:left="0"/>
        <w:jc w:val="both"/>
        <w:spacing w:line="400" w:lineRule="exact"/>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lang w:eastAsia="zh-CN"/>
        </w:rPr>
        <w:t xml:space="preserve">建设实施要求</w:t>
      </w:r>
      <w:r/>
    </w:p>
    <w:p>
      <w:pPr>
        <w:pStyle w:val="732"/>
        <w:numPr>
          <w:ilvl w:val="1"/>
          <w:numId w:val="8"/>
        </w:numPr>
        <w:spacing w:before="0" w:after="0" w:line="400" w:lineRule="exact"/>
        <w:rPr>
          <w:sz w:val="21"/>
          <w:szCs w:val="21"/>
          <w:u w:val="none"/>
        </w:rPr>
      </w:pPr>
      <w:r>
        <w:rPr>
          <w:rFonts w:hint="eastAsia"/>
          <w:sz w:val="21"/>
          <w:szCs w:val="21"/>
          <w:u w:val="none"/>
        </w:rPr>
        <w:t xml:space="preserve">核心区域建设与一期业务整合</w:t>
      </w:r>
      <w:r/>
    </w:p>
    <w:p>
      <w:pPr>
        <w:pStyle w:val="739"/>
        <w:ind w:firstLine="480"/>
        <w:spacing w:before="0" w:line="400" w:lineRule="exact"/>
        <w:rPr>
          <w:rFonts w:hint="eastAsia"/>
          <w:sz w:val="21"/>
        </w:rPr>
      </w:pPr>
      <w:r>
        <w:rPr>
          <w:rFonts w:hint="eastAsia"/>
          <w:sz w:val="21"/>
        </w:rPr>
        <w:t xml:space="preserve">为构建统一、高性能、高可靠的校园网络体系，同步满足二期新建实训楼、酒店楼投入使用，同时完成一期网络架构优化升级，实现全校网络一体化承载。</w:t>
      </w:r>
      <w:r/>
    </w:p>
    <w:p>
      <w:pPr>
        <w:pStyle w:val="739"/>
        <w:ind w:firstLine="480"/>
        <w:spacing w:before="0" w:line="400" w:lineRule="exact"/>
        <w:rPr>
          <w:sz w:val="21"/>
        </w:rPr>
        <w:outlineLvl w:val="2"/>
      </w:pPr>
      <w:r>
        <w:rPr>
          <w:rFonts w:hint="eastAsia"/>
          <w:sz w:val="21"/>
        </w:rPr>
        <w:t xml:space="preserve">（1）新建核心架构：本次项目按二期新建需求，建设全新校园网与酒店实训网双核心架构，作为全校网络总核心与中心机房，统一承载一期、二期全部主要业务。</w:t>
      </w:r>
      <w:r/>
    </w:p>
    <w:p>
      <w:pPr>
        <w:pStyle w:val="739"/>
        <w:ind w:firstLine="480"/>
        <w:spacing w:before="0" w:line="400" w:lineRule="exact"/>
        <w:rPr>
          <w:sz w:val="21"/>
        </w:rPr>
        <w:outlineLvl w:val="2"/>
      </w:pPr>
      <w:r>
        <w:rPr>
          <w:rFonts w:hint="eastAsia"/>
          <w:sz w:val="21"/>
        </w:rPr>
        <w:t xml:space="preserve">（2）将一期校园原有主要业务、用户流量、应用系统整体迁移至本次新建中心机房核心平台承载；原一期核心设备调整为区域汇聚节点，剥离全网核心调度职能，仅承担本区域流量汇聚与接入转发，实现网络架构扁平化、核心集中化、运维统一化。</w:t>
      </w:r>
      <w:r/>
    </w:p>
    <w:p>
      <w:pPr>
        <w:pStyle w:val="739"/>
        <w:ind w:left="420" w:firstLine="60"/>
        <w:spacing w:before="0" w:line="400" w:lineRule="exact"/>
        <w:rPr>
          <w:sz w:val="21"/>
        </w:rPr>
        <w:outlineLvl w:val="2"/>
      </w:pPr>
      <w:r>
        <w:rPr>
          <w:rFonts w:hint="eastAsia"/>
          <w:sz w:val="21"/>
        </w:rPr>
        <w:t xml:space="preserve">（3）迁移范围:</w:t>
      </w:r>
      <w:r>
        <w:rPr>
          <w:rFonts w:hint="eastAsia"/>
          <w:sz w:val="21"/>
        </w:rPr>
        <w:br/>
      </w:r>
      <w:r>
        <w:rPr>
          <w:rFonts w:hint="eastAsia"/>
          <w:sz w:val="21"/>
        </w:rPr>
        <w:t xml:space="preserve">a.用户与终端</w:t>
      </w:r>
      <w:r/>
    </w:p>
    <w:p>
      <w:pPr>
        <w:pStyle w:val="739"/>
        <w:ind w:firstLine="480"/>
        <w:spacing w:before="0" w:line="400" w:lineRule="exact"/>
        <w:rPr>
          <w:sz w:val="21"/>
        </w:rPr>
        <w:outlineLvl w:val="2"/>
      </w:pPr>
      <w:r>
        <w:rPr>
          <w:rFonts w:hint="eastAsia"/>
          <w:sz w:val="21"/>
        </w:rPr>
        <w:t xml:space="preserve">一期全部师生账号、认证权限、接入策略统一迁移至新建核心平台；一期区域内 4500 台并发终端通过一期区域汇聚节点接入新核心网络。</w:t>
      </w:r>
      <w:r/>
    </w:p>
    <w:p>
      <w:pPr>
        <w:pStyle w:val="739"/>
        <w:ind w:firstLine="480"/>
        <w:spacing w:before="0" w:line="400" w:lineRule="exact"/>
        <w:rPr>
          <w:sz w:val="21"/>
        </w:rPr>
        <w:outlineLvl w:val="2"/>
      </w:pPr>
      <w:r>
        <w:rPr>
          <w:rFonts w:hint="eastAsia"/>
          <w:sz w:val="21"/>
        </w:rPr>
        <w:t xml:space="preserve">b.业务系统</w:t>
      </w:r>
      <w:r/>
    </w:p>
    <w:p>
      <w:pPr>
        <w:pStyle w:val="739"/>
        <w:ind w:firstLine="480"/>
        <w:spacing w:before="0" w:line="400" w:lineRule="exact"/>
        <w:rPr>
          <w:sz w:val="21"/>
        </w:rPr>
        <w:outlineLvl w:val="2"/>
      </w:pPr>
      <w:r>
        <w:rPr>
          <w:rFonts w:hint="eastAsia"/>
          <w:sz w:val="21"/>
        </w:rPr>
        <w:t xml:space="preserve">智慧校园、教务、学工、资产管理、专业实训、云桌面、录播直播、在线考试等全部应用系统统一接入新建核心平台承载。</w:t>
      </w:r>
      <w:r/>
    </w:p>
    <w:p>
      <w:pPr>
        <w:pStyle w:val="739"/>
        <w:ind w:firstLine="480"/>
        <w:spacing w:before="0" w:line="400" w:lineRule="exact"/>
        <w:rPr>
          <w:sz w:val="21"/>
        </w:rPr>
        <w:outlineLvl w:val="2"/>
      </w:pPr>
      <w:r>
        <w:rPr>
          <w:rFonts w:hint="eastAsia"/>
          <w:sz w:val="21"/>
        </w:rPr>
        <w:t xml:space="preserve">c.网络流量</w:t>
      </w:r>
      <w:r/>
    </w:p>
    <w:p>
      <w:pPr>
        <w:pStyle w:val="739"/>
        <w:ind w:firstLine="480"/>
        <w:spacing w:before="0" w:line="400" w:lineRule="exact"/>
        <w:rPr>
          <w:sz w:val="21"/>
        </w:rPr>
        <w:outlineLvl w:val="2"/>
      </w:pPr>
      <w:r>
        <w:rPr>
          <w:rFonts w:hint="eastAsia"/>
          <w:sz w:val="21"/>
        </w:rPr>
        <w:t xml:space="preserve">一期校内流量、出口流量、无线流量、高带宽业务流量全部通过一期区域汇聚节点割接至新核心转发，原一期核心不再承担路由与调度。</w:t>
      </w:r>
      <w:r/>
    </w:p>
    <w:p>
      <w:pPr>
        <w:pStyle w:val="739"/>
        <w:ind w:firstLine="480"/>
        <w:spacing w:before="0" w:line="400" w:lineRule="exact"/>
        <w:rPr>
          <w:sz w:val="21"/>
        </w:rPr>
        <w:outlineLvl w:val="2"/>
      </w:pPr>
      <w:r>
        <w:rPr>
          <w:rFonts w:hint="eastAsia"/>
          <w:sz w:val="21"/>
        </w:rPr>
        <w:t xml:space="preserve">d.安全与策略</w:t>
      </w:r>
      <w:r/>
    </w:p>
    <w:p>
      <w:pPr>
        <w:pStyle w:val="739"/>
        <w:ind w:firstLine="480"/>
        <w:spacing w:before="0" w:line="400" w:lineRule="exact"/>
        <w:rPr>
          <w:sz w:val="21"/>
        </w:rPr>
        <w:outlineLvl w:val="2"/>
      </w:pPr>
      <w:r>
        <w:rPr>
          <w:rFonts w:hint="eastAsia"/>
          <w:sz w:val="21"/>
        </w:rPr>
        <w:t xml:space="preserve">原有网络策略、VLAN、QoS、准入规则等统一迁移至新核心优化部署；安全设备利旧原有系统，与新建核心平台兼容对接、统一管理。</w:t>
      </w:r>
      <w:r/>
    </w:p>
    <w:p>
      <w:pPr>
        <w:pStyle w:val="739"/>
        <w:ind w:firstLine="480"/>
        <w:spacing w:before="0" w:line="400" w:lineRule="exact"/>
        <w:rPr>
          <w:sz w:val="21"/>
        </w:rPr>
        <w:outlineLvl w:val="2"/>
      </w:pPr>
      <w:r>
        <w:rPr>
          <w:rFonts w:hint="eastAsia"/>
          <w:sz w:val="21"/>
        </w:rPr>
        <w:t xml:space="preserve">（4）本期工程利旧机房内1 台在用汇聚交换机(H3C-10508)，与本期新增同等级汇聚设备共同构建双节点冗余汇聚系统；设备间可采用VRRP、BFD、动态路由等标准化协议实现冗余备份、故障快速切换与负载分担，不依赖私有虚拟化技术，确保跨品牌兼容、高可靠运行。</w:t>
      </w:r>
      <w:r/>
    </w:p>
    <w:p>
      <w:pPr>
        <w:pStyle w:val="739"/>
        <w:ind w:firstLine="480"/>
        <w:spacing w:before="0" w:line="400" w:lineRule="exact"/>
        <w:rPr>
          <w:sz w:val="21"/>
        </w:rPr>
        <w:outlineLvl w:val="2"/>
      </w:pPr>
      <w:r>
        <w:rPr>
          <w:rFonts w:hint="eastAsia"/>
          <w:sz w:val="21"/>
        </w:rPr>
        <w:t xml:space="preserve">（5）现网设备利旧使用：对一期现网可用设备进行合理复用与优化部署，充分保护原有投资，优化后统一纳入本次新建管理平台。</w:t>
      </w:r>
      <w:r/>
    </w:p>
    <w:p>
      <w:pPr>
        <w:pStyle w:val="739"/>
        <w:ind w:firstLine="480"/>
        <w:spacing w:before="0" w:line="400" w:lineRule="exact"/>
        <w:rPr>
          <w:sz w:val="21"/>
        </w:rPr>
        <w:outlineLvl w:val="2"/>
      </w:pPr>
      <w:r>
        <w:rPr>
          <w:rFonts w:hint="eastAsia"/>
          <w:sz w:val="21"/>
        </w:rPr>
        <w:t xml:space="preserve">（6）核心区域冗余建设：本次项目针对校园核心、酒店实训核心采用高可靠冗余部署，确保教学、办公、实训、酒店等业务高速转发、无瓶颈、互不干扰。</w:t>
      </w:r>
      <w:r/>
    </w:p>
    <w:p>
      <w:pPr>
        <w:pStyle w:val="739"/>
        <w:ind w:firstLine="480"/>
        <w:spacing w:before="0" w:line="400" w:lineRule="exact"/>
        <w:rPr>
          <w:sz w:val="21"/>
        </w:rPr>
        <w:outlineLvl w:val="2"/>
      </w:pPr>
      <w:r>
        <w:rPr>
          <w:rFonts w:hint="eastAsia"/>
          <w:sz w:val="21"/>
        </w:rPr>
        <w:t xml:space="preserve">（7）管理优化提升建设：配套设备链路综合运维与安全管理（包括：1、网络设备运维与日志分析；2、光链路可视管理；3、哑终端安全使用管理）提升网络监控与可视化、智能化管理能力。</w:t>
      </w:r>
      <w:r/>
    </w:p>
    <w:p>
      <w:pPr>
        <w:pStyle w:val="732"/>
        <w:numPr>
          <w:ilvl w:val="1"/>
          <w:numId w:val="8"/>
        </w:numPr>
        <w:spacing w:before="0" w:after="0" w:line="400" w:lineRule="exact"/>
        <w:rPr>
          <w:sz w:val="21"/>
          <w:szCs w:val="21"/>
          <w:u w:val="none"/>
        </w:rPr>
      </w:pPr>
      <w:r>
        <w:rPr>
          <w:rFonts w:hint="eastAsia"/>
          <w:sz w:val="21"/>
          <w:szCs w:val="21"/>
          <w:u w:val="none"/>
        </w:rPr>
        <w:t xml:space="preserve">接入建设原则</w:t>
      </w:r>
      <w:r/>
    </w:p>
    <w:p>
      <w:pPr>
        <w:pStyle w:val="739"/>
        <w:ind w:firstLine="480"/>
        <w:spacing w:before="0" w:line="400" w:lineRule="exact"/>
        <w:rPr>
          <w:rFonts w:hint="eastAsia"/>
          <w:sz w:val="21"/>
        </w:rPr>
        <w:outlineLvl w:val="2"/>
      </w:pPr>
      <w:r>
        <w:rPr>
          <w:rFonts w:hint="eastAsia"/>
          <w:sz w:val="21"/>
        </w:rPr>
        <w:t xml:space="preserve">（1）办公场景组网原则</w:t>
      </w:r>
      <w:r/>
    </w:p>
    <w:p>
      <w:pPr>
        <w:pStyle w:val="739"/>
        <w:ind w:firstLine="480"/>
        <w:spacing w:before="0" w:line="400" w:lineRule="exact"/>
        <w:rPr>
          <w:rFonts w:hint="eastAsia"/>
          <w:sz w:val="21"/>
        </w:rPr>
      </w:pPr>
      <w:r>
        <w:rPr>
          <w:rFonts w:hint="eastAsia"/>
          <w:sz w:val="21"/>
        </w:rPr>
        <w:t xml:space="preserve">①　采用 8 口设备作为光接入端设备。可以满足多种业务接入，为用户提供高速宽带等多种业务。支持壁挂安装。光接入端设备双上行 10G 端口连接分光器 (无源汇聚)、下行千兆端口可接入有线网络设备。</w:t>
      </w:r>
      <w:r/>
    </w:p>
    <w:p>
      <w:pPr>
        <w:pStyle w:val="739"/>
        <w:ind w:firstLine="480"/>
        <w:spacing w:before="0" w:line="400" w:lineRule="exact"/>
        <w:rPr>
          <w:rFonts w:hint="eastAsia"/>
          <w:sz w:val="21"/>
        </w:rPr>
      </w:pPr>
      <w:r>
        <w:rPr>
          <w:rFonts w:hint="eastAsia"/>
          <w:sz w:val="21"/>
        </w:rPr>
        <w:t xml:space="preserve">②　整体设计为一级分光模式，分光器 (无源汇聚) 下行口通过桥架和管道将光缆延伸至多媒体箱连接入户设备 10G 端口，连接入户以太光设备。分光器 (无源汇聚) 上行口通过主干光缆互联至中心机房核心端口。</w:t>
      </w:r>
      <w:r/>
    </w:p>
    <w:p>
      <w:pPr>
        <w:pStyle w:val="739"/>
        <w:ind w:firstLine="480"/>
        <w:spacing w:before="0" w:line="400" w:lineRule="exact"/>
        <w:rPr>
          <w:rFonts w:hint="eastAsia"/>
          <w:sz w:val="21"/>
        </w:rPr>
        <w:outlineLvl w:val="2"/>
      </w:pPr>
      <w:r>
        <w:rPr>
          <w:rFonts w:hint="eastAsia"/>
          <w:sz w:val="21"/>
        </w:rPr>
        <w:t xml:space="preserve">（2）教学 / 实训场景组网原则</w:t>
      </w:r>
      <w:r/>
    </w:p>
    <w:p>
      <w:pPr>
        <w:pStyle w:val="739"/>
        <w:ind w:firstLine="480"/>
        <w:spacing w:before="0" w:line="400" w:lineRule="exact"/>
        <w:rPr>
          <w:rFonts w:hint="eastAsia"/>
          <w:sz w:val="21"/>
        </w:rPr>
      </w:pPr>
      <w:r>
        <w:rPr>
          <w:rFonts w:hint="eastAsia"/>
          <w:sz w:val="21"/>
        </w:rPr>
        <w:t xml:space="preserve">①　采用 8 口、24 口设备作为光接入端设备。可以满足多种业务接入，为用户提供高速宽带等多种业务。支持壁挂安装。光接入端设备双上行 10G 端口连接、下行千兆端口可接入有线网络设备。</w:t>
      </w:r>
      <w:r/>
    </w:p>
    <w:p>
      <w:pPr>
        <w:pStyle w:val="739"/>
        <w:ind w:firstLine="480"/>
        <w:spacing w:before="0" w:line="400" w:lineRule="exact"/>
        <w:rPr>
          <w:rFonts w:hint="eastAsia"/>
          <w:sz w:val="21"/>
        </w:rPr>
      </w:pPr>
      <w:r>
        <w:rPr>
          <w:rFonts w:hint="eastAsia"/>
          <w:sz w:val="21"/>
        </w:rPr>
        <w:t xml:space="preserve">②　光接入设备支持 POE 功能，充分考虑未来诸如录播摄像头、无线 AP 等设备接入的需要，教室内、实训室内多媒体业务终端接入网中可实现对地址的可管可控，实现资产的全生命周期管理。</w:t>
      </w:r>
      <w:r/>
    </w:p>
    <w:p>
      <w:pPr>
        <w:pStyle w:val="739"/>
        <w:ind w:firstLine="480"/>
        <w:spacing w:before="0" w:line="400" w:lineRule="exact"/>
        <w:rPr>
          <w:rFonts w:hint="eastAsia"/>
          <w:sz w:val="21"/>
        </w:rPr>
      </w:pPr>
      <w:r>
        <w:rPr>
          <w:rFonts w:hint="eastAsia"/>
          <w:sz w:val="21"/>
        </w:rPr>
        <w:t xml:space="preserve">③　整体设计为一级分光模式，分光器 (无源汇聚) 下行口通过桥架和管道将光缆延伸至多媒体箱连接入户设备 10G 端口，连接入户以太光设备。分光器 (无源汇聚) 上行口通过主干光缆互联至中心机房核心端口。</w:t>
      </w:r>
      <w:r/>
    </w:p>
    <w:p>
      <w:pPr>
        <w:pStyle w:val="739"/>
        <w:ind w:firstLine="480"/>
        <w:spacing w:before="0" w:line="400" w:lineRule="exact"/>
        <w:rPr>
          <w:rFonts w:hint="eastAsia"/>
          <w:sz w:val="21"/>
        </w:rPr>
        <w:outlineLvl w:val="2"/>
      </w:pPr>
      <w:r>
        <w:rPr>
          <w:rFonts w:hint="eastAsia"/>
          <w:sz w:val="21"/>
        </w:rPr>
        <w:t xml:space="preserve">（3）酒店楼实训场景组网原则</w:t>
      </w:r>
      <w:r/>
    </w:p>
    <w:p>
      <w:pPr>
        <w:pStyle w:val="739"/>
        <w:ind w:firstLine="480"/>
        <w:spacing w:before="0" w:line="400" w:lineRule="exact"/>
        <w:rPr>
          <w:rFonts w:hint="eastAsia"/>
          <w:sz w:val="21"/>
        </w:rPr>
      </w:pPr>
      <w:r>
        <w:rPr>
          <w:rFonts w:hint="eastAsia"/>
          <w:sz w:val="21"/>
        </w:rPr>
        <w:t xml:space="preserve">①　客房区域采用传统以太网 8 口 POE 接入设备，满足客房终端、电视、电话、无线 AP 等接入及供电需求，单上行接入弱电间48光口汇聚交换机。</w:t>
      </w:r>
      <w:r/>
    </w:p>
    <w:p>
      <w:pPr>
        <w:pStyle w:val="739"/>
        <w:ind w:firstLine="480"/>
        <w:spacing w:before="0" w:line="400" w:lineRule="exact"/>
        <w:rPr>
          <w:rFonts w:hint="eastAsia"/>
          <w:sz w:val="21"/>
        </w:rPr>
      </w:pPr>
      <w:r>
        <w:rPr>
          <w:rFonts w:hint="eastAsia"/>
          <w:sz w:val="21"/>
        </w:rPr>
        <w:t xml:space="preserve">②　酒店前台、公共区域、管理办公区采用 24 口接入或 POE 接入设备接入弱电间48光口汇聚交换机，双上行接入弱电间48光口汇聚交换机。</w:t>
      </w:r>
      <w:r/>
    </w:p>
    <w:p>
      <w:pPr>
        <w:pStyle w:val="739"/>
        <w:ind w:firstLine="480"/>
        <w:spacing w:before="0" w:line="400" w:lineRule="exact"/>
        <w:rPr>
          <w:rFonts w:hint="eastAsia"/>
          <w:sz w:val="21"/>
        </w:rPr>
      </w:pPr>
      <w:r>
        <w:rPr>
          <w:rFonts w:hint="eastAsia"/>
          <w:sz w:val="21"/>
        </w:rPr>
        <w:t xml:space="preserve">③　酒店实训网络与校园网络实现逻辑隔离，独立认证、独立管理，满足酒店管理、教学实训、客房服务等场景使用。</w:t>
      </w:r>
      <w:r/>
    </w:p>
    <w:p>
      <w:pPr>
        <w:pStyle w:val="739"/>
        <w:ind w:firstLine="480"/>
        <w:spacing w:before="0" w:line="400" w:lineRule="exact"/>
        <w:rPr>
          <w:rFonts w:hint="eastAsia"/>
          <w:sz w:val="21"/>
        </w:rPr>
        <w:outlineLvl w:val="2"/>
      </w:pPr>
      <w:r>
        <w:rPr>
          <w:rFonts w:hint="eastAsia"/>
          <w:sz w:val="21"/>
        </w:rPr>
        <w:t xml:space="preserve">（4）无线覆盖组网原则</w:t>
      </w:r>
      <w:r/>
    </w:p>
    <w:p>
      <w:pPr>
        <w:pStyle w:val="739"/>
        <w:ind w:firstLine="480"/>
        <w:spacing w:before="0" w:line="400" w:lineRule="exact"/>
        <w:rPr>
          <w:rFonts w:hint="eastAsia"/>
          <w:sz w:val="21"/>
        </w:rPr>
      </w:pPr>
      <w:r>
        <w:rPr>
          <w:rFonts w:hint="eastAsia"/>
          <w:sz w:val="21"/>
        </w:rPr>
        <w:t xml:space="preserve">①　按教室、办公室、实训室、客房、走廊、大厅、室外等不同场景差异化部署无线 AP，实现全覆盖、无盲区。</w:t>
      </w:r>
      <w:r/>
    </w:p>
    <w:p>
      <w:pPr>
        <w:pStyle w:val="739"/>
        <w:ind w:firstLine="480"/>
        <w:spacing w:before="0" w:line="400" w:lineRule="exact"/>
        <w:rPr>
          <w:rFonts w:hint="eastAsia"/>
          <w:sz w:val="21"/>
        </w:rPr>
      </w:pPr>
      <w:r>
        <w:rPr>
          <w:rFonts w:hint="eastAsia"/>
          <w:sz w:val="21"/>
        </w:rPr>
        <w:t xml:space="preserve">②　支持双频优先引导至 5GHz 频段，支持 Portal、无感知认证等多种认证方式。</w:t>
      </w:r>
      <w:r/>
    </w:p>
    <w:p>
      <w:pPr>
        <w:pStyle w:val="739"/>
        <w:ind w:firstLine="480"/>
        <w:spacing w:before="0" w:line="400" w:lineRule="exact"/>
        <w:rPr>
          <w:rFonts w:hint="eastAsia"/>
          <w:sz w:val="21"/>
        </w:rPr>
      </w:pPr>
      <w:r>
        <w:rPr>
          <w:rFonts w:hint="eastAsia"/>
          <w:sz w:val="21"/>
        </w:rPr>
        <w:t xml:space="preserve">③　支持射频自动优化、负载均衡、AP 漫游、非法 AP 检测与告警，保障无线质量与安全。</w:t>
      </w:r>
      <w:r/>
    </w:p>
    <w:p>
      <w:pPr>
        <w:pStyle w:val="732"/>
        <w:numPr>
          <w:ilvl w:val="1"/>
          <w:numId w:val="8"/>
        </w:numPr>
        <w:spacing w:before="0" w:after="0" w:line="400" w:lineRule="exact"/>
        <w:rPr>
          <w:sz w:val="21"/>
          <w:szCs w:val="21"/>
          <w:u w:val="none"/>
        </w:rPr>
      </w:pPr>
      <w:r>
        <w:rPr>
          <w:rFonts w:hint="eastAsia"/>
          <w:sz w:val="21"/>
          <w:szCs w:val="21"/>
          <w:u w:val="none"/>
        </w:rPr>
        <w:t xml:space="preserve">点位数量设计</w:t>
      </w:r>
      <w:r/>
    </w:p>
    <w:p>
      <w:pPr>
        <w:pStyle w:val="739"/>
        <w:ind w:firstLine="480"/>
        <w:spacing w:before="0" w:line="400" w:lineRule="exact"/>
        <w:rPr>
          <w:rFonts w:hint="eastAsia"/>
          <w:sz w:val="21"/>
        </w:rPr>
      </w:pPr>
      <w:r>
        <w:rPr>
          <w:rFonts w:hint="eastAsia"/>
          <w:sz w:val="21"/>
        </w:rPr>
        <w:t xml:space="preserve">本次建设覆盖二期新建实训楼、酒店楼，实现全校统一网络覆盖。有线网络根据每房间类型、用途、人数进行合理化点位部署，为建设区域提供稳定、高速的有线网络覆盖。</w:t>
      </w:r>
      <w:r/>
    </w:p>
    <w:p>
      <w:pPr>
        <w:pStyle w:val="739"/>
        <w:ind w:firstLine="480"/>
        <w:spacing w:before="0" w:line="400" w:lineRule="exact"/>
        <w:rPr>
          <w:rFonts w:hint="eastAsia"/>
          <w:sz w:val="21"/>
        </w:rPr>
      </w:pPr>
      <w:r>
        <w:rPr>
          <w:rFonts w:hint="eastAsia"/>
          <w:sz w:val="21"/>
        </w:rPr>
      </w:r>
      <w:r/>
    </w:p>
    <w:tbl>
      <w:tblPr>
        <w:tblStyle w:val="735"/>
        <w:tblW w:w="8549" w:type="dxa"/>
        <w:jc w:val="center"/>
        <w:tblLayout w:type="autofit"/>
        <w:tblCellMar>
          <w:left w:w="108" w:type="dxa"/>
          <w:top w:w="0" w:type="dxa"/>
          <w:right w:w="108" w:type="dxa"/>
          <w:bottom w:w="0" w:type="dxa"/>
        </w:tblCellMar>
        <w:tblLook w:val="04A0" w:firstRow="1" w:lastRow="0" w:firstColumn="1" w:lastColumn="0" w:noHBand="0" w:noVBand="1"/>
      </w:tblPr>
      <w:tblGrid>
        <w:gridCol w:w="1628"/>
        <w:gridCol w:w="653"/>
        <w:gridCol w:w="1086"/>
        <w:gridCol w:w="1213"/>
        <w:gridCol w:w="1377"/>
        <w:gridCol w:w="1322"/>
        <w:gridCol w:w="1270"/>
      </w:tblGrid>
      <w:tr>
        <w:trPr>
          <w:jc w:val="center"/>
          <w:tblHeade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8" w:type="dxa"/>
            <w:vAlign w:val="center"/>
            <w:textDirection w:val="lrTb"/>
            <w:noWrap w:val="false"/>
          </w:tcPr>
          <w:p>
            <w:pPr>
              <w:jc w:val="center"/>
              <w:widowControl/>
              <w:rPr>
                <w:rFonts w:hint="eastAsia" w:ascii="宋体" w:hAnsi="宋体" w:cs="宋体"/>
                <w:b/>
                <w:color w:val="000000"/>
                <w:sz w:val="18"/>
                <w:szCs w:val="18"/>
              </w:rPr>
            </w:pPr>
            <w:r>
              <w:rPr>
                <w:rFonts w:hint="eastAsia" w:ascii="宋体" w:hAnsi="宋体" w:cs="宋体"/>
                <w:b/>
                <w:color w:val="000000"/>
                <w:sz w:val="18"/>
                <w:szCs w:val="18"/>
                <w:lang w:bidi="ar"/>
              </w:rPr>
              <w:t xml:space="preserve">楼宇</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653" w:type="dxa"/>
            <w:vAlign w:val="center"/>
            <w:textDirection w:val="lrTb"/>
            <w:noWrap w:val="false"/>
          </w:tcPr>
          <w:p>
            <w:pPr>
              <w:jc w:val="center"/>
              <w:widowControl/>
              <w:rPr>
                <w:rFonts w:hint="eastAsia" w:ascii="宋体" w:hAnsi="宋体" w:cs="宋体"/>
                <w:b/>
                <w:color w:val="000000"/>
                <w:sz w:val="18"/>
                <w:szCs w:val="18"/>
              </w:rPr>
            </w:pPr>
            <w:r>
              <w:rPr>
                <w:rFonts w:hint="eastAsia" w:ascii="宋体" w:hAnsi="宋体" w:cs="宋体"/>
                <w:b/>
                <w:color w:val="000000"/>
                <w:sz w:val="18"/>
                <w:szCs w:val="18"/>
                <w:lang w:bidi="ar"/>
              </w:rPr>
              <w:t xml:space="preserve">楼层</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b/>
                <w:color w:val="000000"/>
                <w:sz w:val="18"/>
                <w:szCs w:val="18"/>
              </w:rPr>
            </w:pPr>
            <w:r>
              <w:rPr>
                <w:rFonts w:hint="eastAsia" w:ascii="宋体" w:hAnsi="宋体" w:cs="宋体"/>
                <w:b/>
                <w:color w:val="000000"/>
                <w:sz w:val="18"/>
                <w:szCs w:val="18"/>
                <w:lang w:bidi="ar"/>
              </w:rPr>
              <w:t xml:space="preserve">24口光接入设备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b/>
                <w:color w:val="000000"/>
                <w:sz w:val="18"/>
                <w:szCs w:val="18"/>
              </w:rPr>
            </w:pPr>
            <w:r>
              <w:rPr>
                <w:rFonts w:hint="eastAsia" w:ascii="宋体" w:hAnsi="宋体" w:cs="宋体"/>
                <w:b/>
                <w:color w:val="000000"/>
                <w:sz w:val="18"/>
                <w:szCs w:val="18"/>
                <w:lang w:bidi="ar"/>
              </w:rPr>
              <w:t xml:space="preserve">24口POE接入设备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b/>
                <w:color w:val="000000"/>
                <w:sz w:val="18"/>
                <w:szCs w:val="18"/>
              </w:rPr>
            </w:pPr>
            <w:r>
              <w:rPr>
                <w:rFonts w:hint="eastAsia" w:ascii="宋体" w:hAnsi="宋体" w:cs="宋体"/>
                <w:b/>
                <w:color w:val="000000"/>
                <w:sz w:val="18"/>
                <w:szCs w:val="18"/>
                <w:lang w:bidi="ar"/>
              </w:rPr>
              <w:t xml:space="preserve">办公室8口光接入设备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b/>
                <w:color w:val="000000"/>
                <w:sz w:val="18"/>
                <w:szCs w:val="18"/>
              </w:rPr>
            </w:pPr>
            <w:r>
              <w:rPr>
                <w:rFonts w:hint="eastAsia" w:ascii="宋体" w:hAnsi="宋体" w:cs="宋体"/>
                <w:b/>
                <w:color w:val="000000"/>
                <w:sz w:val="18"/>
                <w:szCs w:val="18"/>
                <w:lang w:bidi="ar"/>
              </w:rPr>
              <w:t xml:space="preserve">教室24口光接入设备</w:t>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cs="宋体"/>
                <w:b/>
                <w:color w:val="000000"/>
                <w:sz w:val="18"/>
                <w:szCs w:val="18"/>
              </w:rPr>
            </w:pPr>
            <w:r>
              <w:rPr>
                <w:rFonts w:hint="eastAsia" w:ascii="宋体" w:hAnsi="宋体" w:cs="宋体"/>
                <w:b/>
                <w:color w:val="000000"/>
                <w:sz w:val="18"/>
                <w:szCs w:val="18"/>
                <w:lang w:bidi="ar"/>
              </w:rPr>
              <w:t xml:space="preserve">教室8口光接入设备</w:t>
            </w:r>
            <w:r/>
          </w:p>
        </w:tc>
      </w:tr>
      <w:tr>
        <w:trPr>
          <w:jc w:val="cente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8" w:type="dxa"/>
            <w:vAlign w:val="center"/>
            <w:vMerge w:val="restart"/>
            <w:textDirection w:val="lrTb"/>
            <w:noWrap w:val="false"/>
          </w:tcPr>
          <w:p>
            <w:pPr>
              <w:jc w:val="center"/>
              <w:widowControl/>
              <w:rPr>
                <w:rFonts w:hint="eastAsia" w:ascii="宋体" w:hAnsi="宋体" w:cs="宋体"/>
                <w:color w:val="000000"/>
                <w:sz w:val="18"/>
                <w:szCs w:val="20"/>
              </w:rPr>
            </w:pPr>
            <w:r>
              <w:rPr>
                <w:rFonts w:hint="eastAsia" w:ascii="宋体" w:hAnsi="宋体" w:cs="宋体"/>
                <w:color w:val="000000"/>
                <w:sz w:val="18"/>
                <w:szCs w:val="20"/>
                <w:lang w:bidi="ar"/>
              </w:rPr>
              <w:t xml:space="preserve">实训楼(中间裙楼)</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3" w:type="dxa"/>
            <w:vAlign w:val="center"/>
            <w:textDirection w:val="lrTb"/>
            <w:noWrap w:val="false"/>
          </w:tcPr>
          <w:p>
            <w:pPr>
              <w:jc w:val="left"/>
              <w:widowControl/>
              <w:rPr>
                <w:rFonts w:hint="eastAsia" w:ascii="宋体" w:hAnsi="宋体" w:cs="宋体"/>
                <w:color w:val="000000"/>
                <w:sz w:val="18"/>
                <w:szCs w:val="20"/>
              </w:rPr>
            </w:pPr>
            <w:r>
              <w:rPr>
                <w:rFonts w:hint="eastAsia" w:ascii="宋体" w:hAnsi="宋体" w:cs="宋体"/>
                <w:color w:val="000000"/>
                <w:sz w:val="18"/>
                <w:szCs w:val="20"/>
                <w:lang w:bidi="ar"/>
              </w:rPr>
              <w:t xml:space="preserve">一层</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8" w:type="dxa"/>
            <w:vAlign w:val="center"/>
            <w:vMerge w:val="continue"/>
            <w:textDirection w:val="lrTb"/>
            <w:noWrap w:val="false"/>
          </w:tcPr>
          <w:p>
            <w:pPr>
              <w:jc w:val="center"/>
              <w:rPr>
                <w:rFonts w:hint="eastAsia" w:ascii="宋体" w:hAnsi="宋体" w:cs="宋体"/>
                <w:color w:val="000000"/>
                <w:sz w:val="18"/>
                <w:szCs w:val="20"/>
              </w:rPr>
            </w:pPr>
            <w:r>
              <w:rPr>
                <w:rFonts w:hint="eastAsia" w:ascii="宋体" w:hAnsi="宋体" w:cs="宋体"/>
                <w:color w:val="000000"/>
                <w:sz w:val="18"/>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3"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二层</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8" w:type="dxa"/>
            <w:vAlign w:val="center"/>
            <w:vMerge w:val="restart"/>
            <w:textDirection w:val="lrTb"/>
            <w:noWrap w:val="false"/>
          </w:tcPr>
          <w:p>
            <w:pPr>
              <w:jc w:val="center"/>
              <w:widowControl/>
              <w:rPr>
                <w:rFonts w:hint="eastAsia" w:ascii="宋体" w:hAnsi="宋体" w:cs="宋体"/>
                <w:color w:val="000000"/>
                <w:sz w:val="18"/>
                <w:szCs w:val="20"/>
              </w:rPr>
            </w:pPr>
            <w:r>
              <w:rPr>
                <w:rFonts w:hint="eastAsia" w:ascii="宋体" w:hAnsi="宋体" w:cs="宋体"/>
                <w:color w:val="000000"/>
                <w:sz w:val="18"/>
                <w:szCs w:val="20"/>
                <w:lang w:bidi="ar"/>
              </w:rPr>
              <w:t xml:space="preserve">实训楼</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3" w:type="dxa"/>
            <w:vAlign w:val="center"/>
            <w:textDirection w:val="lrTb"/>
            <w:noWrap w:val="false"/>
          </w:tcPr>
          <w:p>
            <w:pPr>
              <w:jc w:val="left"/>
              <w:widowControl/>
              <w:rPr>
                <w:rFonts w:hint="eastAsia" w:ascii="宋体" w:hAnsi="宋体" w:cs="宋体"/>
                <w:color w:val="000000"/>
                <w:sz w:val="18"/>
                <w:szCs w:val="20"/>
              </w:rPr>
            </w:pPr>
            <w:r>
              <w:rPr>
                <w:rFonts w:hint="eastAsia" w:ascii="宋体" w:hAnsi="宋体" w:cs="宋体"/>
                <w:color w:val="000000"/>
                <w:sz w:val="18"/>
                <w:szCs w:val="20"/>
                <w:lang w:bidi="ar"/>
              </w:rPr>
              <w:t xml:space="preserve">一层</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8" w:type="dxa"/>
            <w:vAlign w:val="center"/>
            <w:vMerge w:val="continue"/>
            <w:textDirection w:val="lrTb"/>
            <w:noWrap w:val="false"/>
          </w:tcPr>
          <w:p>
            <w:pPr>
              <w:jc w:val="center"/>
              <w:rPr>
                <w:rFonts w:hint="eastAsia" w:ascii="宋体" w:hAnsi="宋体" w:cs="宋体"/>
                <w:color w:val="000000"/>
                <w:sz w:val="18"/>
                <w:szCs w:val="20"/>
              </w:rPr>
            </w:pPr>
            <w:r>
              <w:rPr>
                <w:rFonts w:hint="eastAsia" w:ascii="宋体" w:hAnsi="宋体" w:cs="宋体"/>
                <w:color w:val="000000"/>
                <w:sz w:val="18"/>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3"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二层</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8" w:type="dxa"/>
            <w:vAlign w:val="center"/>
            <w:vMerge w:val="continue"/>
            <w:textDirection w:val="lrTb"/>
            <w:noWrap w:val="false"/>
          </w:tcPr>
          <w:p>
            <w:pPr>
              <w:jc w:val="center"/>
              <w:rPr>
                <w:rFonts w:hint="eastAsia" w:ascii="宋体" w:hAnsi="宋体" w:cs="宋体"/>
                <w:color w:val="000000"/>
                <w:sz w:val="18"/>
                <w:szCs w:val="20"/>
              </w:rPr>
            </w:pPr>
            <w:r>
              <w:rPr>
                <w:rFonts w:hint="eastAsia" w:ascii="宋体" w:hAnsi="宋体" w:cs="宋体"/>
                <w:color w:val="000000"/>
                <w:sz w:val="18"/>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3"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三层</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8" w:type="dxa"/>
            <w:vAlign w:val="center"/>
            <w:vMerge w:val="continue"/>
            <w:textDirection w:val="lrTb"/>
            <w:noWrap w:val="false"/>
          </w:tcPr>
          <w:p>
            <w:pPr>
              <w:jc w:val="center"/>
              <w:rPr>
                <w:rFonts w:hint="eastAsia" w:ascii="宋体" w:hAnsi="宋体" w:cs="宋体"/>
                <w:color w:val="000000"/>
                <w:sz w:val="18"/>
                <w:szCs w:val="20"/>
              </w:rPr>
            </w:pPr>
            <w:r>
              <w:rPr>
                <w:rFonts w:hint="eastAsia" w:ascii="宋体" w:hAnsi="宋体" w:cs="宋体"/>
                <w:color w:val="000000"/>
                <w:sz w:val="18"/>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3" w:type="dxa"/>
            <w:vAlign w:val="center"/>
            <w:textDirection w:val="lrTb"/>
            <w:noWrap w:val="false"/>
          </w:tcPr>
          <w:p>
            <w:pPr>
              <w:jc w:val="left"/>
              <w:widowControl/>
              <w:rPr>
                <w:rFonts w:hint="eastAsia" w:ascii="宋体" w:hAnsi="宋体" w:cs="宋体"/>
                <w:color w:val="000000"/>
                <w:sz w:val="18"/>
                <w:szCs w:val="20"/>
              </w:rPr>
            </w:pPr>
            <w:r>
              <w:rPr>
                <w:rFonts w:hint="eastAsia" w:ascii="宋体" w:hAnsi="宋体" w:cs="宋体"/>
                <w:color w:val="000000"/>
                <w:sz w:val="18"/>
                <w:szCs w:val="20"/>
                <w:lang w:bidi="ar"/>
              </w:rPr>
              <w:t xml:space="preserve">四层</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p>
        </w:tc>
      </w:tr>
      <w:tr>
        <w:trPr>
          <w:jc w:val="cente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8" w:type="dxa"/>
            <w:vAlign w:val="center"/>
            <w:vMerge w:val="continue"/>
            <w:textDirection w:val="lrTb"/>
            <w:noWrap w:val="false"/>
          </w:tcPr>
          <w:p>
            <w:pPr>
              <w:jc w:val="center"/>
              <w:rPr>
                <w:rFonts w:hint="eastAsia" w:ascii="宋体" w:hAnsi="宋体" w:cs="宋体"/>
                <w:color w:val="000000"/>
                <w:sz w:val="18"/>
                <w:szCs w:val="20"/>
              </w:rPr>
            </w:pPr>
            <w:r>
              <w:rPr>
                <w:rFonts w:hint="eastAsia" w:ascii="宋体" w:hAnsi="宋体" w:cs="宋体"/>
                <w:color w:val="000000"/>
                <w:sz w:val="18"/>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3"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五层</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p>
        </w:tc>
      </w:tr>
      <w:tr>
        <w:trPr>
          <w:jc w:val="cente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8" w:type="dxa"/>
            <w:vAlign w:val="center"/>
            <w:vMerge w:val="continue"/>
            <w:textDirection w:val="lrTb"/>
            <w:noWrap w:val="false"/>
          </w:tcPr>
          <w:p>
            <w:pPr>
              <w:jc w:val="center"/>
              <w:rPr>
                <w:rFonts w:hint="eastAsia" w:ascii="宋体" w:hAnsi="宋体" w:cs="宋体"/>
                <w:color w:val="000000"/>
                <w:sz w:val="18"/>
                <w:szCs w:val="20"/>
              </w:rPr>
            </w:pPr>
            <w:r>
              <w:rPr>
                <w:rFonts w:hint="eastAsia" w:ascii="宋体" w:hAnsi="宋体" w:cs="宋体"/>
                <w:color w:val="000000"/>
                <w:sz w:val="18"/>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3"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六层</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8" w:type="dxa"/>
            <w:vAlign w:val="center"/>
            <w:vMerge w:val="continue"/>
            <w:textDirection w:val="lrTb"/>
            <w:noWrap w:val="false"/>
          </w:tcPr>
          <w:p>
            <w:pPr>
              <w:jc w:val="center"/>
              <w:rPr>
                <w:rFonts w:hint="eastAsia" w:ascii="宋体" w:hAnsi="宋体" w:cs="宋体"/>
                <w:color w:val="000000"/>
                <w:sz w:val="18"/>
                <w:szCs w:val="20"/>
              </w:rPr>
            </w:pPr>
            <w:r>
              <w:rPr>
                <w:rFonts w:hint="eastAsia" w:ascii="宋体" w:hAnsi="宋体" w:cs="宋体"/>
                <w:color w:val="000000"/>
                <w:sz w:val="18"/>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3" w:type="dxa"/>
            <w:vAlign w:val="center"/>
            <w:textDirection w:val="lrTb"/>
            <w:noWrap w:val="false"/>
          </w:tcPr>
          <w:p>
            <w:pPr>
              <w:jc w:val="left"/>
              <w:widowControl/>
              <w:rPr>
                <w:rFonts w:hint="eastAsia" w:ascii="宋体" w:hAnsi="宋体" w:cs="宋体"/>
                <w:color w:val="000000"/>
                <w:sz w:val="18"/>
                <w:szCs w:val="20"/>
              </w:rPr>
            </w:pPr>
            <w:r>
              <w:rPr>
                <w:rFonts w:hint="eastAsia" w:ascii="宋体" w:hAnsi="宋体" w:cs="宋体"/>
                <w:color w:val="000000"/>
                <w:sz w:val="18"/>
                <w:szCs w:val="20"/>
                <w:lang w:bidi="ar"/>
              </w:rPr>
              <w:t xml:space="preserve">七层</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8" w:type="dxa"/>
            <w:vAlign w:val="center"/>
            <w:vMerge w:val="continue"/>
            <w:textDirection w:val="lrTb"/>
            <w:noWrap w:val="false"/>
          </w:tcPr>
          <w:p>
            <w:pPr>
              <w:jc w:val="center"/>
              <w:rPr>
                <w:rFonts w:hint="eastAsia" w:ascii="宋体" w:hAnsi="宋体" w:cs="宋体"/>
                <w:color w:val="000000"/>
                <w:sz w:val="18"/>
                <w:szCs w:val="20"/>
              </w:rPr>
            </w:pPr>
            <w:r>
              <w:rPr>
                <w:rFonts w:hint="eastAsia" w:ascii="宋体" w:hAnsi="宋体" w:cs="宋体"/>
                <w:color w:val="000000"/>
                <w:sz w:val="18"/>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53"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九层</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Pr>
        <w:tc>
          <w:tcPr>
            <w:gridSpan w:val="2"/>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2281" w:type="dxa"/>
            <w:vAlign w:val="center"/>
            <w:textDirection w:val="lrTb"/>
            <w:noWrap w:val="false"/>
          </w:tcPr>
          <w:p>
            <w:pPr>
              <w:jc w:val="center"/>
              <w:widowControl/>
              <w:rPr>
                <w:rFonts w:hint="eastAsia" w:ascii="宋体" w:hAnsi="宋体" w:cs="宋体"/>
                <w:b/>
                <w:color w:val="000000"/>
                <w:sz w:val="18"/>
                <w:szCs w:val="22"/>
              </w:rPr>
            </w:pPr>
            <w:r>
              <w:rPr>
                <w:rFonts w:hint="eastAsia" w:ascii="宋体" w:hAnsi="宋体" w:cs="宋体"/>
                <w:b/>
                <w:color w:val="000000"/>
                <w:sz w:val="18"/>
                <w:szCs w:val="22"/>
                <w:lang w:bidi="ar"/>
              </w:rPr>
              <w:t xml:space="preserve">小计</w:t>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1086" w:type="dxa"/>
            <w:vAlign w:val="center"/>
            <w:textDirection w:val="lrTb"/>
            <w:noWrap w:val="false"/>
          </w:tcPr>
          <w:p>
            <w:pPr>
              <w:jc w:val="center"/>
              <w:widowControl/>
              <w:rPr>
                <w:rFonts w:hint="eastAsia" w:ascii="宋体" w:hAnsi="宋体" w:cs="宋体"/>
                <w:b/>
                <w:color w:val="000000"/>
                <w:sz w:val="18"/>
                <w:szCs w:val="22"/>
              </w:rPr>
            </w:pPr>
            <w:r>
              <w:rPr>
                <w:rFonts w:hint="eastAsia" w:ascii="宋体" w:hAnsi="宋体" w:cs="宋体"/>
                <w:b/>
                <w:color w:val="000000"/>
                <w:sz w:val="18"/>
                <w:szCs w:val="22"/>
                <w:lang w:bidi="ar"/>
              </w:rPr>
              <w:t xml:space="preserve">24</w:t>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1213" w:type="dxa"/>
            <w:vAlign w:val="center"/>
            <w:textDirection w:val="lrTb"/>
            <w:noWrap w:val="false"/>
          </w:tcPr>
          <w:p>
            <w:pPr>
              <w:jc w:val="center"/>
              <w:widowControl/>
              <w:rPr>
                <w:rFonts w:hint="eastAsia" w:ascii="宋体" w:hAnsi="宋体" w:cs="宋体"/>
                <w:b/>
                <w:color w:val="000000"/>
                <w:sz w:val="18"/>
                <w:szCs w:val="22"/>
              </w:rPr>
            </w:pPr>
            <w:r>
              <w:rPr>
                <w:rFonts w:hint="eastAsia" w:ascii="宋体" w:hAnsi="宋体" w:cs="宋体"/>
                <w:b/>
                <w:color w:val="000000"/>
                <w:sz w:val="18"/>
                <w:szCs w:val="22"/>
                <w:lang w:bidi="ar"/>
              </w:rPr>
              <w:t xml:space="preserve">10</w:t>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1377" w:type="dxa"/>
            <w:vAlign w:val="center"/>
            <w:textDirection w:val="lrTb"/>
            <w:noWrap w:val="false"/>
          </w:tcPr>
          <w:p>
            <w:pPr>
              <w:jc w:val="center"/>
              <w:widowControl/>
              <w:rPr>
                <w:rFonts w:hint="eastAsia" w:ascii="宋体" w:hAnsi="宋体" w:cs="宋体"/>
                <w:b/>
                <w:color w:val="000000"/>
                <w:sz w:val="18"/>
                <w:szCs w:val="22"/>
              </w:rPr>
            </w:pPr>
            <w:r>
              <w:rPr>
                <w:rFonts w:hint="eastAsia" w:ascii="宋体" w:hAnsi="宋体" w:cs="宋体"/>
                <w:b/>
                <w:color w:val="000000"/>
                <w:sz w:val="18"/>
                <w:szCs w:val="22"/>
                <w:lang w:bidi="ar"/>
              </w:rPr>
              <w:t xml:space="preserve">39</w:t>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1322" w:type="dxa"/>
            <w:vAlign w:val="center"/>
            <w:textDirection w:val="lrTb"/>
            <w:noWrap w:val="false"/>
          </w:tcPr>
          <w:p>
            <w:pPr>
              <w:jc w:val="center"/>
              <w:widowControl/>
              <w:rPr>
                <w:rFonts w:hint="eastAsia" w:ascii="宋体" w:hAnsi="宋体" w:cs="宋体"/>
                <w:b/>
                <w:color w:val="000000"/>
                <w:sz w:val="18"/>
                <w:szCs w:val="22"/>
              </w:rPr>
            </w:pPr>
            <w:r>
              <w:rPr>
                <w:rFonts w:hint="eastAsia" w:ascii="宋体" w:hAnsi="宋体" w:cs="宋体"/>
                <w:b/>
                <w:color w:val="000000"/>
                <w:sz w:val="18"/>
                <w:szCs w:val="22"/>
                <w:lang w:bidi="ar"/>
              </w:rPr>
              <w:t xml:space="preserve">12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cs="宋体"/>
                <w:b/>
                <w:color w:val="000000"/>
                <w:sz w:val="18"/>
                <w:szCs w:val="22"/>
              </w:rPr>
            </w:pPr>
            <w:r>
              <w:rPr>
                <w:rFonts w:hint="eastAsia" w:ascii="宋体" w:hAnsi="宋体" w:cs="宋体"/>
                <w:b/>
                <w:color w:val="000000"/>
                <w:sz w:val="18"/>
                <w:szCs w:val="22"/>
                <w:lang w:bidi="ar"/>
              </w:rPr>
              <w:t xml:space="preserve">57</w:t>
            </w:r>
            <w:r/>
          </w:p>
        </w:tc>
      </w:tr>
    </w:tbl>
    <w:p>
      <w:pPr>
        <w:pStyle w:val="739"/>
        <w:ind w:firstLine="480"/>
        <w:jc w:val="center"/>
        <w:spacing w:before="0" w:line="400" w:lineRule="exact"/>
        <w:rPr>
          <w:rFonts w:hint="eastAsia"/>
          <w:b/>
          <w:bCs/>
          <w:sz w:val="21"/>
        </w:rPr>
      </w:pPr>
      <w:r>
        <w:rPr>
          <w:rFonts w:hint="eastAsia"/>
          <w:b/>
          <w:bCs/>
          <w:sz w:val="21"/>
        </w:rPr>
        <w:t xml:space="preserve">实训楼设备点位表</w:t>
      </w:r>
      <w:r/>
    </w:p>
    <w:p>
      <w:pPr>
        <w:pStyle w:val="739"/>
        <w:ind w:firstLine="480"/>
        <w:spacing w:before="0" w:line="400" w:lineRule="exact"/>
        <w:rPr>
          <w:rFonts w:hint="eastAsia"/>
          <w:sz w:val="21"/>
        </w:rPr>
      </w:pPr>
      <w:r>
        <w:rPr>
          <w:rFonts w:hint="eastAsia"/>
          <w:sz w:val="21"/>
        </w:rPr>
      </w:r>
      <w:r/>
    </w:p>
    <w:tbl>
      <w:tblPr>
        <w:tblStyle w:val="735"/>
        <w:tblW w:w="8611" w:type="dxa"/>
        <w:jc w:val="center"/>
        <w:tblLayout w:type="autofit"/>
        <w:tblCellMar>
          <w:left w:w="108" w:type="dxa"/>
          <w:top w:w="0" w:type="dxa"/>
          <w:right w:w="108" w:type="dxa"/>
          <w:bottom w:w="0" w:type="dxa"/>
        </w:tblCellMar>
        <w:tblLook w:val="04A0" w:firstRow="1" w:lastRow="0" w:firstColumn="1" w:lastColumn="0" w:noHBand="0" w:noVBand="1"/>
      </w:tblPr>
      <w:tblGrid>
        <w:gridCol w:w="2143"/>
        <w:gridCol w:w="876"/>
        <w:gridCol w:w="1184"/>
        <w:gridCol w:w="1302"/>
        <w:gridCol w:w="1026"/>
        <w:gridCol w:w="1285"/>
        <w:gridCol w:w="795"/>
      </w:tblGrid>
      <w:tr>
        <w:trPr>
          <w:jc w:val="center"/>
          <w:tblHeader/>
        </w:trPr>
        <w:tc>
          <w:tcPr>
            <w:tcBorders>
              <w:top w:val="single" w:color="000000" w:sz="4" w:space="0"/>
              <w:left w:val="single" w:color="000000" w:sz="4" w:space="0"/>
              <w:bottom w:val="none" w:color="000000" w:sz="4" w:space="0"/>
              <w:right w:val="single" w:color="000000" w:sz="4" w:space="0"/>
            </w:tcBorders>
            <w:tcW w:w="2143" w:type="dxa"/>
            <w:vAlign w:val="center"/>
            <w:textDirection w:val="lrTb"/>
            <w:noWrap/>
          </w:tcPr>
          <w:p>
            <w:pPr>
              <w:jc w:val="center"/>
              <w:widowControl/>
              <w:rPr>
                <w:rFonts w:hint="eastAsia" w:ascii="宋体" w:hAnsi="宋体" w:cs="宋体"/>
                <w:b/>
                <w:color w:val="000000"/>
                <w:sz w:val="18"/>
                <w:szCs w:val="18"/>
              </w:rPr>
            </w:pPr>
            <w:r>
              <w:rPr>
                <w:rFonts w:hint="eastAsia" w:ascii="宋体" w:hAnsi="宋体" w:cs="宋体"/>
                <w:b/>
                <w:color w:val="000000"/>
                <w:sz w:val="18"/>
                <w:szCs w:val="18"/>
              </w:rPr>
              <w:t xml:space="preserve">楼宇</w:t>
            </w:r>
            <w:r/>
          </w:p>
        </w:tc>
        <w:tc>
          <w:tcPr>
            <w:tcBorders>
              <w:top w:val="single" w:color="000000" w:sz="4" w:space="0"/>
              <w:left w:val="single" w:color="000000" w:sz="4" w:space="0"/>
              <w:bottom w:val="none" w:color="000000" w:sz="4" w:space="0"/>
              <w:right w:val="none" w:color="000000" w:sz="4" w:space="0"/>
            </w:tcBorders>
            <w:tcW w:w="876" w:type="dxa"/>
            <w:vAlign w:val="center"/>
            <w:textDirection w:val="lrTb"/>
            <w:noWrap/>
          </w:tcPr>
          <w:p>
            <w:pPr>
              <w:jc w:val="center"/>
              <w:widowControl/>
              <w:rPr>
                <w:rFonts w:hint="eastAsia" w:ascii="宋体" w:hAnsi="宋体" w:cs="宋体"/>
                <w:b/>
                <w:color w:val="000000"/>
                <w:sz w:val="18"/>
                <w:szCs w:val="18"/>
              </w:rPr>
            </w:pPr>
            <w:r>
              <w:rPr>
                <w:rFonts w:hint="eastAsia" w:ascii="宋体" w:hAnsi="宋体" w:cs="宋体"/>
                <w:b/>
                <w:color w:val="000000"/>
                <w:sz w:val="18"/>
                <w:szCs w:val="18"/>
                <w:lang w:bidi="ar"/>
              </w:rPr>
              <w:t xml:space="preserve">楼层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color w:val="000000"/>
                <w:sz w:val="18"/>
                <w:szCs w:val="18"/>
              </w:rPr>
            </w:pPr>
            <w:r>
              <w:rPr>
                <w:rFonts w:hint="eastAsia" w:ascii="宋体" w:hAnsi="宋体" w:cs="宋体"/>
                <w:b/>
                <w:color w:val="000000"/>
                <w:sz w:val="18"/>
                <w:szCs w:val="18"/>
                <w:lang w:bidi="ar"/>
              </w:rPr>
              <w:t xml:space="preserve">24口千兆接入交换机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color w:val="000000"/>
                <w:sz w:val="18"/>
                <w:szCs w:val="18"/>
              </w:rPr>
            </w:pPr>
            <w:r>
              <w:rPr>
                <w:rFonts w:hint="eastAsia" w:ascii="宋体" w:hAnsi="宋体" w:cs="宋体"/>
                <w:b/>
                <w:color w:val="000000"/>
                <w:sz w:val="18"/>
                <w:szCs w:val="18"/>
                <w:lang w:bidi="ar"/>
              </w:rPr>
              <w:t xml:space="preserve">24电口千兆POE交换机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color w:val="000000"/>
                <w:sz w:val="18"/>
                <w:szCs w:val="18"/>
              </w:rPr>
            </w:pPr>
            <w:r>
              <w:rPr>
                <w:rFonts w:hint="eastAsia" w:ascii="宋体" w:hAnsi="宋体" w:cs="宋体"/>
                <w:b/>
                <w:color w:val="000000"/>
                <w:sz w:val="18"/>
                <w:szCs w:val="18"/>
                <w:lang w:bidi="ar"/>
              </w:rPr>
              <w:t xml:space="preserve">8电口千兆交换机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color w:val="000000"/>
                <w:sz w:val="18"/>
                <w:szCs w:val="18"/>
              </w:rPr>
            </w:pPr>
            <w:r>
              <w:rPr>
                <w:rFonts w:hint="eastAsia" w:ascii="宋体" w:hAnsi="宋体" w:cs="宋体"/>
                <w:b/>
                <w:color w:val="000000"/>
                <w:sz w:val="18"/>
                <w:szCs w:val="18"/>
                <w:lang w:bidi="ar"/>
              </w:rPr>
              <w:t xml:space="preserve">8电口POE千兆交换机</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b/>
                <w:color w:val="000000"/>
                <w:sz w:val="18"/>
                <w:szCs w:val="18"/>
              </w:rPr>
            </w:pPr>
            <w:r>
              <w:rPr>
                <w:rFonts w:hint="eastAsia" w:ascii="宋体" w:hAnsi="宋体" w:cs="宋体"/>
                <w:b/>
                <w:color w:val="000000"/>
                <w:sz w:val="18"/>
                <w:szCs w:val="18"/>
                <w:lang w:bidi="ar"/>
              </w:rPr>
              <w:t xml:space="preserve">48光口汇聚</w:t>
            </w:r>
            <w:r/>
          </w:p>
        </w:tc>
      </w:tr>
      <w:tr>
        <w:trPr>
          <w:jc w:val="center"/>
        </w:trPr>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jc w:val="center"/>
              <w:widowControl/>
              <w:rPr>
                <w:rFonts w:hint="eastAsia" w:ascii="宋体" w:hAnsi="宋体" w:cs="宋体"/>
                <w:b/>
                <w:bCs/>
                <w:color w:val="000000"/>
                <w:sz w:val="18"/>
                <w:szCs w:val="20"/>
              </w:rPr>
            </w:pPr>
            <w:r>
              <w:rPr>
                <w:rFonts w:hint="eastAsia" w:ascii="宋体" w:hAnsi="宋体" w:cs="宋体"/>
                <w:b/>
                <w:bCs/>
                <w:color w:val="000000"/>
                <w:sz w:val="18"/>
                <w:szCs w:val="20"/>
                <w:lang w:bidi="ar"/>
              </w:rPr>
              <w:t xml:space="preserve">中间裙楼（多功能厅）</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三层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Pr>
        <w:tc>
          <w:tcPr>
            <w:tcBorders>
              <w:top w:val="single" w:color="000000" w:sz="4" w:space="0"/>
              <w:left w:val="single" w:color="000000" w:sz="4" w:space="0"/>
              <w:bottom w:val="none" w:color="000000" w:sz="4" w:space="0"/>
              <w:right w:val="single" w:color="000000" w:sz="4" w:space="0"/>
            </w:tcBorders>
            <w:tcW w:w="2143" w:type="dxa"/>
            <w:vAlign w:val="center"/>
            <w:vMerge w:val="restart"/>
            <w:textDirection w:val="lrTb"/>
            <w:noWrap/>
          </w:tcPr>
          <w:p>
            <w:pPr>
              <w:jc w:val="center"/>
              <w:widowControl/>
              <w:rPr>
                <w:rFonts w:hint="eastAsia" w:ascii="宋体" w:hAnsi="宋体" w:cs="宋体"/>
                <w:b/>
                <w:bCs/>
                <w:color w:val="000000"/>
                <w:sz w:val="18"/>
                <w:szCs w:val="20"/>
              </w:rPr>
            </w:pPr>
            <w:r>
              <w:rPr>
                <w:rFonts w:hint="eastAsia" w:ascii="宋体" w:hAnsi="宋体" w:cs="宋体"/>
                <w:b/>
                <w:bCs/>
                <w:color w:val="000000"/>
                <w:sz w:val="18"/>
                <w:szCs w:val="20"/>
                <w:lang w:bidi="ar"/>
              </w:rPr>
              <w:t xml:space="preserve">酒店楼</w:t>
            </w:r>
            <w:r/>
          </w:p>
        </w:tc>
        <w:tc>
          <w:tcPr>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一层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none" w:color="000000" w:sz="4" w:space="0"/>
              <w:right w:val="single" w:color="000000" w:sz="4" w:space="0"/>
            </w:tcBorders>
            <w:tcW w:w="2143" w:type="dxa"/>
            <w:vAlign w:val="center"/>
            <w:vMerge w:val="continue"/>
            <w:textDirection w:val="lrTb"/>
            <w:noWrap/>
          </w:tcPr>
          <w:p>
            <w:pPr>
              <w:jc w:val="center"/>
              <w:rPr>
                <w:rFonts w:hint="eastAsia" w:ascii="宋体" w:hAnsi="宋体" w:cs="宋体"/>
                <w:b/>
                <w:bCs/>
                <w:color w:val="000000"/>
                <w:sz w:val="18"/>
                <w:szCs w:val="20"/>
              </w:rPr>
            </w:pPr>
            <w:r>
              <w:rPr>
                <w:rFonts w:hint="eastAsia" w:ascii="宋体" w:hAnsi="宋体" w:cs="宋体"/>
                <w:b/>
                <w:bCs/>
                <w:color w:val="000000"/>
                <w:sz w:val="18"/>
                <w:szCs w:val="20"/>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三层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Pr>
        <w:tc>
          <w:tcPr>
            <w:tcBorders>
              <w:top w:val="single" w:color="000000" w:sz="4" w:space="0"/>
              <w:left w:val="single" w:color="000000" w:sz="4" w:space="0"/>
              <w:bottom w:val="none" w:color="000000" w:sz="4" w:space="0"/>
              <w:right w:val="single" w:color="000000" w:sz="4" w:space="0"/>
            </w:tcBorders>
            <w:tcW w:w="2143" w:type="dxa"/>
            <w:vAlign w:val="center"/>
            <w:vMerge w:val="continue"/>
            <w:textDirection w:val="lrTb"/>
            <w:noWrap/>
          </w:tcPr>
          <w:p>
            <w:pPr>
              <w:jc w:val="center"/>
              <w:rPr>
                <w:rFonts w:hint="eastAsia" w:ascii="宋体" w:hAnsi="宋体" w:cs="宋体"/>
                <w:b/>
                <w:bCs/>
                <w:color w:val="000000"/>
                <w:sz w:val="18"/>
                <w:szCs w:val="20"/>
              </w:rPr>
            </w:pPr>
            <w:r>
              <w:rPr>
                <w:rFonts w:hint="eastAsia" w:ascii="宋体" w:hAnsi="宋体" w:cs="宋体"/>
                <w:b/>
                <w:bCs/>
                <w:color w:val="000000"/>
                <w:sz w:val="18"/>
                <w:szCs w:val="20"/>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四层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Pr>
        <w:tc>
          <w:tcPr>
            <w:tcBorders>
              <w:top w:val="single" w:color="000000" w:sz="4" w:space="0"/>
              <w:left w:val="single" w:color="000000" w:sz="4" w:space="0"/>
              <w:bottom w:val="none" w:color="000000" w:sz="4" w:space="0"/>
              <w:right w:val="single" w:color="000000" w:sz="4" w:space="0"/>
            </w:tcBorders>
            <w:tcW w:w="2143" w:type="dxa"/>
            <w:vAlign w:val="center"/>
            <w:vMerge w:val="continue"/>
            <w:textDirection w:val="lrTb"/>
            <w:noWrap/>
          </w:tcPr>
          <w:p>
            <w:pPr>
              <w:jc w:val="center"/>
              <w:rPr>
                <w:rFonts w:hint="eastAsia" w:ascii="宋体" w:hAnsi="宋体" w:cs="宋体"/>
                <w:b/>
                <w:bCs/>
                <w:color w:val="000000"/>
                <w:sz w:val="18"/>
                <w:szCs w:val="20"/>
              </w:rPr>
            </w:pPr>
            <w:r>
              <w:rPr>
                <w:rFonts w:hint="eastAsia" w:ascii="宋体" w:hAnsi="宋体" w:cs="宋体"/>
                <w:b/>
                <w:bCs/>
                <w:color w:val="000000"/>
                <w:sz w:val="18"/>
                <w:szCs w:val="20"/>
              </w:rPr>
            </w:r>
            <w:r/>
          </w:p>
        </w:tc>
        <w:tc>
          <w:tcPr>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五层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none" w:color="000000" w:sz="4" w:space="0"/>
              <w:right w:val="single" w:color="000000" w:sz="4" w:space="0"/>
            </w:tcBorders>
            <w:tcW w:w="2143" w:type="dxa"/>
            <w:vAlign w:val="center"/>
            <w:vMerge w:val="continue"/>
            <w:textDirection w:val="lrTb"/>
            <w:noWrap/>
          </w:tcPr>
          <w:p>
            <w:pPr>
              <w:jc w:val="center"/>
              <w:rPr>
                <w:rFonts w:hint="eastAsia" w:ascii="宋体" w:hAnsi="宋体" w:cs="宋体"/>
                <w:b/>
                <w:bCs/>
                <w:color w:val="000000"/>
                <w:sz w:val="18"/>
                <w:szCs w:val="20"/>
              </w:rPr>
            </w:pPr>
            <w:r>
              <w:rPr>
                <w:rFonts w:hint="eastAsia" w:ascii="宋体" w:hAnsi="宋体" w:cs="宋体"/>
                <w:b/>
                <w:bCs/>
                <w:color w:val="000000"/>
                <w:sz w:val="18"/>
                <w:szCs w:val="20"/>
              </w:rPr>
            </w:r>
            <w:r/>
          </w:p>
        </w:tc>
        <w:tc>
          <w:tcPr>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六层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Pr>
        <w:tc>
          <w:tcPr>
            <w:tcBorders>
              <w:top w:val="single" w:color="000000" w:sz="4" w:space="0"/>
              <w:left w:val="single" w:color="000000" w:sz="4" w:space="0"/>
              <w:bottom w:val="none" w:color="000000" w:sz="4" w:space="0"/>
              <w:right w:val="single" w:color="000000" w:sz="4" w:space="0"/>
            </w:tcBorders>
            <w:tcW w:w="2143" w:type="dxa"/>
            <w:vAlign w:val="center"/>
            <w:vMerge w:val="continue"/>
            <w:textDirection w:val="lrTb"/>
            <w:noWrap/>
          </w:tcPr>
          <w:p>
            <w:pPr>
              <w:jc w:val="center"/>
              <w:rPr>
                <w:rFonts w:hint="eastAsia" w:ascii="宋体" w:hAnsi="宋体" w:cs="宋体"/>
                <w:b/>
                <w:bCs/>
                <w:color w:val="000000"/>
                <w:sz w:val="18"/>
                <w:szCs w:val="20"/>
              </w:rPr>
            </w:pPr>
            <w:r>
              <w:rPr>
                <w:rFonts w:hint="eastAsia" w:ascii="宋体" w:hAnsi="宋体" w:cs="宋体"/>
                <w:b/>
                <w:bCs/>
                <w:color w:val="000000"/>
                <w:sz w:val="18"/>
                <w:szCs w:val="20"/>
              </w:rPr>
            </w:r>
            <w:r/>
          </w:p>
        </w:tc>
        <w:tc>
          <w:tcPr>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七层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Pr>
        <w:tc>
          <w:tcPr>
            <w:tcBorders>
              <w:top w:val="single" w:color="000000" w:sz="4" w:space="0"/>
              <w:left w:val="single" w:color="000000" w:sz="4" w:space="0"/>
              <w:bottom w:val="none" w:color="000000" w:sz="4" w:space="0"/>
              <w:right w:val="single" w:color="000000" w:sz="4" w:space="0"/>
            </w:tcBorders>
            <w:tcW w:w="2143" w:type="dxa"/>
            <w:vAlign w:val="center"/>
            <w:vMerge w:val="continue"/>
            <w:textDirection w:val="lrTb"/>
            <w:noWrap/>
          </w:tcPr>
          <w:p>
            <w:pPr>
              <w:jc w:val="center"/>
              <w:rPr>
                <w:rFonts w:hint="eastAsia" w:ascii="宋体" w:hAnsi="宋体" w:cs="宋体"/>
                <w:b/>
                <w:bCs/>
                <w:color w:val="000000"/>
                <w:sz w:val="18"/>
                <w:szCs w:val="20"/>
              </w:rPr>
            </w:pPr>
            <w:r>
              <w:rPr>
                <w:rFonts w:hint="eastAsia" w:ascii="宋体" w:hAnsi="宋体" w:cs="宋体"/>
                <w:b/>
                <w:bCs/>
                <w:color w:val="000000"/>
                <w:sz w:val="18"/>
                <w:szCs w:val="20"/>
              </w:rPr>
            </w:r>
            <w:r/>
          </w:p>
        </w:tc>
        <w:tc>
          <w:tcPr>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八层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Pr>
        <w:tc>
          <w:tcPr>
            <w:tcBorders>
              <w:top w:val="single" w:color="000000" w:sz="4" w:space="0"/>
              <w:left w:val="single" w:color="000000" w:sz="4" w:space="0"/>
              <w:bottom w:val="none" w:color="000000" w:sz="4" w:space="0"/>
              <w:right w:val="single" w:color="000000" w:sz="4" w:space="0"/>
            </w:tcBorders>
            <w:tcW w:w="2143" w:type="dxa"/>
            <w:vAlign w:val="center"/>
            <w:vMerge w:val="continue"/>
            <w:textDirection w:val="lrTb"/>
            <w:noWrap/>
          </w:tcPr>
          <w:p>
            <w:pPr>
              <w:jc w:val="center"/>
              <w:rPr>
                <w:rFonts w:hint="eastAsia" w:ascii="宋体" w:hAnsi="宋体" w:cs="宋体"/>
                <w:b/>
                <w:bCs/>
                <w:color w:val="000000"/>
                <w:sz w:val="18"/>
                <w:szCs w:val="20"/>
              </w:rPr>
            </w:pPr>
            <w:r>
              <w:rPr>
                <w:rFonts w:hint="eastAsia" w:ascii="宋体" w:hAnsi="宋体" w:cs="宋体"/>
                <w:b/>
                <w:bCs/>
                <w:color w:val="000000"/>
                <w:sz w:val="18"/>
                <w:szCs w:val="20"/>
              </w:rPr>
            </w:r>
            <w:r/>
          </w:p>
        </w:tc>
        <w:tc>
          <w:tcPr>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九层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none" w:color="000000" w:sz="4" w:space="0"/>
              <w:right w:val="single" w:color="000000" w:sz="4" w:space="0"/>
            </w:tcBorders>
            <w:tcW w:w="2143" w:type="dxa"/>
            <w:vAlign w:val="center"/>
            <w:vMerge w:val="continue"/>
            <w:textDirection w:val="lrTb"/>
            <w:noWrap/>
          </w:tcPr>
          <w:p>
            <w:pPr>
              <w:jc w:val="center"/>
              <w:rPr>
                <w:rFonts w:hint="eastAsia" w:ascii="宋体" w:hAnsi="宋体" w:cs="宋体"/>
                <w:b/>
                <w:bCs/>
                <w:color w:val="000000"/>
                <w:sz w:val="18"/>
                <w:szCs w:val="20"/>
              </w:rPr>
            </w:pPr>
            <w:r>
              <w:rPr>
                <w:rFonts w:hint="eastAsia" w:ascii="宋体" w:hAnsi="宋体" w:cs="宋体"/>
                <w:b/>
                <w:bCs/>
                <w:color w:val="000000"/>
                <w:sz w:val="18"/>
                <w:szCs w:val="20"/>
              </w:rPr>
            </w:r>
            <w:r/>
          </w:p>
        </w:tc>
        <w:tc>
          <w:tcPr>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十层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Pr>
        <w:tc>
          <w:tcPr>
            <w:tcBorders>
              <w:top w:val="single" w:color="000000" w:sz="4" w:space="0"/>
              <w:left w:val="single" w:color="000000" w:sz="4" w:space="0"/>
              <w:bottom w:val="none" w:color="000000" w:sz="4" w:space="0"/>
              <w:right w:val="single" w:color="000000" w:sz="4" w:space="0"/>
            </w:tcBorders>
            <w:tcW w:w="2143" w:type="dxa"/>
            <w:vAlign w:val="center"/>
            <w:vMerge w:val="continue"/>
            <w:textDirection w:val="lrTb"/>
            <w:noWrap/>
          </w:tcPr>
          <w:p>
            <w:pPr>
              <w:jc w:val="center"/>
              <w:rPr>
                <w:rFonts w:hint="eastAsia" w:ascii="宋体" w:hAnsi="宋体" w:cs="宋体"/>
                <w:b/>
                <w:bCs/>
                <w:color w:val="000000"/>
                <w:sz w:val="18"/>
                <w:szCs w:val="20"/>
              </w:rPr>
            </w:pPr>
            <w:r>
              <w:rPr>
                <w:rFonts w:hint="eastAsia" w:ascii="宋体" w:hAnsi="宋体" w:cs="宋体"/>
                <w:b/>
                <w:bCs/>
                <w:color w:val="000000"/>
                <w:sz w:val="18"/>
                <w:szCs w:val="20"/>
              </w:rPr>
            </w:r>
            <w:r/>
          </w:p>
        </w:tc>
        <w:tc>
          <w:tcPr>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十一层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b/>
                <w:bCs/>
                <w:color w:val="000000"/>
                <w:sz w:val="18"/>
                <w:szCs w:val="22"/>
              </w:rPr>
            </w:pPr>
            <w:r>
              <w:rPr>
                <w:rFonts w:hint="eastAsia" w:ascii="宋体" w:hAnsi="宋体" w:cs="宋体"/>
                <w:b/>
                <w:bCs/>
                <w:color w:val="000000"/>
                <w:sz w:val="18"/>
                <w:szCs w:val="22"/>
                <w:lang w:bidi="ar"/>
              </w:rPr>
              <w:t xml:space="preserve">小计</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jc w:val="center"/>
              <w:widowControl/>
              <w:rPr>
                <w:rFonts w:hint="eastAsia" w:ascii="宋体" w:hAnsi="宋体" w:cs="宋体"/>
                <w:b/>
                <w:color w:val="000000"/>
                <w:sz w:val="18"/>
                <w:szCs w:val="22"/>
              </w:rPr>
            </w:pPr>
            <w:r>
              <w:rPr>
                <w:rFonts w:hint="eastAsia" w:ascii="宋体" w:hAnsi="宋体" w:cs="宋体"/>
                <w:b/>
                <w:color w:val="000000"/>
                <w:sz w:val="18"/>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b/>
                <w:color w:val="000000"/>
                <w:sz w:val="18"/>
                <w:szCs w:val="22"/>
              </w:rPr>
            </w:pPr>
            <w:r>
              <w:rPr>
                <w:rFonts w:hint="eastAsia" w:ascii="宋体" w:hAnsi="宋体" w:cs="宋体"/>
                <w:b/>
                <w:color w:val="000000"/>
                <w:sz w:val="18"/>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cs="宋体"/>
                <w:b/>
                <w:color w:val="000000"/>
                <w:sz w:val="18"/>
                <w:szCs w:val="22"/>
              </w:rPr>
            </w:pPr>
            <w:r>
              <w:rPr>
                <w:rFonts w:hint="eastAsia" w:ascii="宋体" w:hAnsi="宋体" w:cs="宋体"/>
                <w:b/>
                <w:color w:val="000000"/>
                <w:sz w:val="18"/>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widowControl/>
              <w:rPr>
                <w:rFonts w:hint="eastAsia" w:ascii="宋体" w:hAnsi="宋体" w:cs="宋体"/>
                <w:b/>
                <w:color w:val="000000"/>
                <w:sz w:val="18"/>
                <w:szCs w:val="22"/>
              </w:rPr>
            </w:pPr>
            <w:r>
              <w:rPr>
                <w:rFonts w:hint="eastAsia" w:ascii="宋体" w:hAnsi="宋体" w:cs="宋体"/>
                <w:b/>
                <w:color w:val="000000"/>
                <w:sz w:val="18"/>
                <w:szCs w:val="22"/>
                <w:lang w:bidi="ar"/>
              </w:rPr>
              <w:t xml:space="preserve">166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cs="宋体"/>
                <w:b/>
                <w:color w:val="000000"/>
                <w:sz w:val="18"/>
                <w:szCs w:val="22"/>
              </w:rPr>
            </w:pPr>
            <w:r>
              <w:rPr>
                <w:rFonts w:hint="eastAsia" w:ascii="宋体" w:hAnsi="宋体" w:cs="宋体"/>
                <w:b/>
                <w:color w:val="000000"/>
                <w:sz w:val="18"/>
                <w:szCs w:val="22"/>
                <w:lang w:bidi="ar"/>
              </w:rPr>
              <w:t xml:space="preserve">8</w:t>
            </w:r>
            <w:r/>
          </w:p>
        </w:tc>
      </w:tr>
    </w:tbl>
    <w:p>
      <w:pPr>
        <w:pStyle w:val="739"/>
        <w:ind w:firstLine="480"/>
        <w:jc w:val="center"/>
        <w:spacing w:before="0" w:line="400" w:lineRule="exact"/>
        <w:rPr>
          <w:rFonts w:hint="eastAsia"/>
          <w:b/>
          <w:bCs/>
          <w:sz w:val="21"/>
        </w:rPr>
      </w:pPr>
      <w:r>
        <w:rPr>
          <w:rFonts w:hint="eastAsia"/>
          <w:b/>
          <w:bCs/>
          <w:sz w:val="21"/>
        </w:rPr>
        <w:t xml:space="preserve">酒店楼设备点位表</w:t>
      </w:r>
      <w:r/>
    </w:p>
    <w:p>
      <w:pPr>
        <w:pStyle w:val="739"/>
        <w:ind w:firstLine="480"/>
        <w:spacing w:before="0" w:line="400" w:lineRule="exact"/>
        <w:rPr>
          <w:rFonts w:hint="eastAsia"/>
          <w:sz w:val="21"/>
        </w:rPr>
      </w:pPr>
      <w:r>
        <w:rPr>
          <w:rFonts w:hint="eastAsia"/>
          <w:sz w:val="21"/>
        </w:rPr>
        <w:t xml:space="preserve">注：请投标人自行到校做现场详细勘察，仔细核对核算。</w:t>
      </w:r>
      <w:r/>
    </w:p>
    <w:p>
      <w:pPr>
        <w:pStyle w:val="732"/>
        <w:numPr>
          <w:ilvl w:val="1"/>
          <w:numId w:val="8"/>
        </w:numPr>
        <w:spacing w:before="0" w:after="0" w:line="400" w:lineRule="exact"/>
        <w:rPr>
          <w:sz w:val="21"/>
          <w:szCs w:val="21"/>
          <w:u w:val="none"/>
        </w:rPr>
      </w:pPr>
      <w:r>
        <w:rPr>
          <w:rFonts w:hint="eastAsia"/>
          <w:sz w:val="21"/>
          <w:szCs w:val="21"/>
          <w:u w:val="none"/>
        </w:rPr>
        <w:t xml:space="preserve">设备安装及其它施工要求</w:t>
      </w:r>
      <w:r/>
    </w:p>
    <w:p>
      <w:pPr>
        <w:pStyle w:val="739"/>
        <w:ind w:firstLine="480"/>
        <w:spacing w:before="0" w:line="400" w:lineRule="exact"/>
        <w:rPr>
          <w:rFonts w:hint="eastAsia"/>
          <w:sz w:val="21"/>
        </w:rPr>
      </w:pPr>
      <w:r>
        <w:rPr>
          <w:rFonts w:hint="eastAsia"/>
          <w:sz w:val="21"/>
        </w:rPr>
        <w:t xml:space="preserve">供应商须提供专业的设备安装服务，包括设备上架、互联、通信组网、调试及全网开通。本项目为二期新建项目，楼内综合布线、信息点布线、管道、桥架、箱体、多媒体箱等已由综合布线单位实施完成，网络系统单位仅负责设备侧光纤、跳线部署及调试工作。本项目在实施过程中，要求中标供应商提供每栋楼宇所有接入设备点位数量表及深化设计点位图纸，提交用户方认可后方可进场，具体要求如下：</w:t>
      </w:r>
      <w:r/>
    </w:p>
    <w:p>
      <w:pPr>
        <w:pStyle w:val="739"/>
        <w:ind w:firstLine="480"/>
        <w:spacing w:before="0" w:line="400" w:lineRule="exact"/>
        <w:rPr>
          <w:rFonts w:hint="eastAsia"/>
          <w:sz w:val="21"/>
        </w:rPr>
        <w:outlineLvl w:val="2"/>
      </w:pPr>
      <w:r>
        <w:rPr>
          <w:rFonts w:hint="eastAsia"/>
          <w:sz w:val="21"/>
        </w:rPr>
        <w:t xml:space="preserve">（1）本项目不包含室内水平布线、垂直干线、管路、桥架、箱体、终端信息点布线等内容，相关已由综合布线单位实施到位。</w:t>
      </w:r>
      <w:r/>
    </w:p>
    <w:p>
      <w:pPr>
        <w:pStyle w:val="739"/>
        <w:ind w:firstLine="480"/>
        <w:spacing w:before="0" w:line="400" w:lineRule="exact"/>
        <w:rPr>
          <w:rFonts w:hint="eastAsia"/>
          <w:sz w:val="21"/>
        </w:rPr>
        <w:outlineLvl w:val="2"/>
      </w:pPr>
      <w:r>
        <w:rPr>
          <w:rFonts w:hint="eastAsia"/>
          <w:sz w:val="21"/>
        </w:rPr>
        <w:t xml:space="preserve">（2）网络设备上架、互联所需光纤跳线、光模块、互联线缆由网络供应商负责提供并安装部署。</w:t>
      </w:r>
      <w:r/>
    </w:p>
    <w:p>
      <w:pPr>
        <w:pStyle w:val="739"/>
        <w:ind w:firstLine="480"/>
        <w:spacing w:before="0" w:line="400" w:lineRule="exact"/>
        <w:rPr>
          <w:rFonts w:hint="eastAsia"/>
          <w:sz w:val="21"/>
        </w:rPr>
        <w:outlineLvl w:val="2"/>
      </w:pPr>
      <w:r>
        <w:rPr>
          <w:rFonts w:hint="eastAsia"/>
          <w:sz w:val="21"/>
        </w:rPr>
        <w:t xml:space="preserve">（3）室内光接入设备、交换机等仅负责设备侧上联跳线，接入点至多媒体箱侧光缆已由综合布线单位完成。</w:t>
      </w:r>
      <w:r/>
    </w:p>
    <w:p>
      <w:pPr>
        <w:pStyle w:val="739"/>
        <w:ind w:firstLine="480"/>
        <w:spacing w:before="0" w:line="400" w:lineRule="exact"/>
        <w:rPr>
          <w:rFonts w:hint="eastAsia"/>
          <w:sz w:val="21"/>
        </w:rPr>
        <w:outlineLvl w:val="2"/>
      </w:pPr>
      <w:r>
        <w:rPr>
          <w:rFonts w:hint="eastAsia"/>
          <w:sz w:val="21"/>
        </w:rPr>
        <w:t xml:space="preserve">（4）供应商根据自身设备选型根据现场光缆敷设情况提供满足网络组网要求的模块、跳线等完成组网，同时提供核心机房内本次项目所建设设备的互联拓扑及互联描述文档。</w:t>
      </w:r>
      <w:r/>
    </w:p>
    <w:p>
      <w:pPr>
        <w:pStyle w:val="739"/>
        <w:ind w:firstLine="480"/>
        <w:spacing w:before="0" w:line="400" w:lineRule="exact"/>
        <w:rPr>
          <w:rFonts w:hint="eastAsia"/>
          <w:sz w:val="21"/>
        </w:rPr>
        <w:outlineLvl w:val="2"/>
      </w:pPr>
      <w:r>
        <w:rPr>
          <w:rFonts w:hint="eastAsia"/>
          <w:sz w:val="21"/>
        </w:rPr>
        <w:t xml:space="preserve">（5）安装结束后，必须及时完成设备安装区域现场的恢复清理，确保机柜、机房、楼道等环境整洁美观。</w:t>
      </w:r>
      <w:r/>
    </w:p>
    <w:p>
      <w:pPr>
        <w:pStyle w:val="739"/>
        <w:ind w:firstLine="480"/>
        <w:spacing w:before="0" w:line="400" w:lineRule="exact"/>
        <w:rPr>
          <w:rFonts w:hint="eastAsia"/>
          <w:color w:val="auto"/>
          <w:sz w:val="21"/>
        </w:rPr>
        <w:outlineLvl w:val="2"/>
      </w:pPr>
      <w:r>
        <w:rPr>
          <w:rFonts w:hint="eastAsia"/>
          <w:sz w:val="21"/>
        </w:rPr>
        <w:t xml:space="preserve">（6）项目验收前，成交供应商须提供项目建设的完整文档资料，包括所有接入设备的安装部署图纸、整体拓扑结构、所有设备 IP 地址表、项目调试配置文档、跳线连接表、</w:t>
      </w:r>
      <w:r>
        <w:rPr>
          <w:rFonts w:hint="eastAsia"/>
          <w:color w:val="auto"/>
          <w:sz w:val="21"/>
        </w:rPr>
        <w:t xml:space="preserve">链路连通性测试报告，以便今后的管理和维护。</w:t>
      </w:r>
      <w:r/>
    </w:p>
    <w:p>
      <w:pPr>
        <w:pStyle w:val="732"/>
        <w:numPr>
          <w:ilvl w:val="1"/>
          <w:numId w:val="8"/>
        </w:numPr>
        <w:spacing w:before="0" w:after="0" w:line="400" w:lineRule="exact"/>
        <w:rPr>
          <w:color w:val="auto"/>
          <w:sz w:val="21"/>
        </w:rPr>
      </w:pPr>
      <w:r>
        <w:rPr>
          <w:rFonts w:hint="eastAsia"/>
          <w:color w:val="auto"/>
          <w:sz w:val="21"/>
          <w:szCs w:val="21"/>
          <w:u w:val="none"/>
        </w:rPr>
        <w:t xml:space="preserve">管理功能提升建设</w:t>
      </w:r>
      <w:r/>
    </w:p>
    <w:p>
      <w:pPr>
        <w:pStyle w:val="739"/>
        <w:ind w:firstLine="480"/>
        <w:spacing w:before="0" w:line="400" w:lineRule="exact"/>
        <w:rPr>
          <w:rFonts w:hint="eastAsia"/>
          <w:color w:val="auto"/>
          <w:sz w:val="21"/>
        </w:rPr>
      </w:pPr>
      <w:r>
        <w:rPr>
          <w:rFonts w:hint="eastAsia"/>
          <w:color w:val="auto"/>
          <w:sz w:val="21"/>
        </w:rPr>
        <w:t xml:space="preserve">本次项目对现网及新建楼宇需要实现提升网络监控与可视化、智能化管理能力，配套设备链路综合运维与安全管理（包括：1、网络设备运维与日志分析；2、光链路可视管理；3、哑终端安全使用管理）。具体要求如下：</w:t>
      </w:r>
      <w:r/>
    </w:p>
    <w:p>
      <w:pPr>
        <w:pStyle w:val="739"/>
        <w:ind w:firstLine="480"/>
        <w:spacing w:before="0" w:line="400" w:lineRule="exact"/>
        <w:rPr>
          <w:rFonts w:hint="eastAsia"/>
          <w:sz w:val="21"/>
        </w:rPr>
        <w:outlineLvl w:val="2"/>
      </w:pPr>
      <w:r>
        <w:rPr>
          <w:rFonts w:hint="eastAsia"/>
          <w:sz w:val="21"/>
        </w:rPr>
        <w:t xml:space="preserve">（1）可实现对网络维护工作起到督促作用，支持对出口流量、核心网络、无线网络、光网络的可视化快速巡检。</w:t>
      </w:r>
      <w:r/>
    </w:p>
    <w:p>
      <w:pPr>
        <w:pStyle w:val="739"/>
        <w:ind w:firstLine="480"/>
        <w:spacing w:before="0" w:line="400" w:lineRule="exact"/>
        <w:rPr>
          <w:rFonts w:hint="eastAsia"/>
          <w:sz w:val="21"/>
        </w:rPr>
        <w:outlineLvl w:val="2"/>
      </w:pPr>
      <w:r>
        <w:rPr>
          <w:rFonts w:hint="eastAsia"/>
          <w:sz w:val="21"/>
        </w:rPr>
        <w:t xml:space="preserve">（2）可实现对网络建设工作起到检查作用，支持对光网设备分布情况的可视化展现，支持对设备的在线 / 离线状态及时间的展现，设备端口光衰数据的展现。</w:t>
      </w:r>
      <w:r/>
    </w:p>
    <w:p>
      <w:pPr>
        <w:pStyle w:val="739"/>
        <w:ind w:firstLine="480"/>
        <w:spacing w:before="0" w:line="400" w:lineRule="exact"/>
        <w:rPr>
          <w:rFonts w:hint="eastAsia"/>
          <w:sz w:val="21"/>
        </w:rPr>
        <w:outlineLvl w:val="2"/>
      </w:pPr>
      <w:r>
        <w:rPr>
          <w:rFonts w:hint="eastAsia"/>
          <w:sz w:val="21"/>
        </w:rPr>
        <w:t xml:space="preserve">（3）可实现对用户使用网络起到监督作用，支持记录用户入网连接位置信息、连接时长，快速展现入网感知。</w:t>
      </w:r>
      <w:r/>
    </w:p>
    <w:p>
      <w:pPr>
        <w:pStyle w:val="739"/>
        <w:ind w:firstLine="480"/>
        <w:spacing w:before="0" w:line="400" w:lineRule="exact"/>
        <w:rPr>
          <w:rFonts w:hint="eastAsia"/>
          <w:sz w:val="21"/>
        </w:rPr>
        <w:outlineLvl w:val="2"/>
      </w:pPr>
      <w:r>
        <w:rPr>
          <w:rFonts w:hint="eastAsia"/>
          <w:sz w:val="21"/>
        </w:rPr>
        <w:t xml:space="preserve">（4）实现通过快速查询方式 (便于手持终端现场快速查询)，自动化采集并登记端口及互联信息，包括但不限于项目名称、设备基础参数、链路连接关系、端口使用状态等。</w:t>
      </w:r>
      <w:r/>
    </w:p>
    <w:p>
      <w:pPr>
        <w:pStyle w:val="739"/>
        <w:ind w:firstLine="480"/>
        <w:spacing w:before="0" w:line="400" w:lineRule="exact"/>
        <w:rPr>
          <w:rFonts w:hint="eastAsia"/>
          <w:sz w:val="21"/>
        </w:rPr>
        <w:outlineLvl w:val="2"/>
      </w:pPr>
      <w:r>
        <w:rPr>
          <w:rFonts w:hint="eastAsia"/>
          <w:sz w:val="21"/>
        </w:rPr>
        <w:t xml:space="preserve">（5）可实现快速查询方式，实时、准确展现机柜内设备基本信息，包含设备品牌、型号、规格、硬件配置等。</w:t>
      </w:r>
      <w:r/>
    </w:p>
    <w:p>
      <w:pPr>
        <w:pStyle w:val="739"/>
        <w:ind w:firstLine="480"/>
        <w:spacing w:before="0" w:line="400" w:lineRule="exact"/>
        <w:rPr>
          <w:rFonts w:hint="eastAsia"/>
          <w:sz w:val="21"/>
        </w:rPr>
        <w:outlineLvl w:val="2"/>
      </w:pPr>
      <w:r>
        <w:rPr>
          <w:rFonts w:hint="eastAsia"/>
          <w:sz w:val="21"/>
        </w:rPr>
        <w:t xml:space="preserve">（6）可实现多媒体箱使用快速查询方式 (便于手持终端现场快速查询)，展现该多媒体箱内接入设备名称、序列号、MAC 地址、设备所在楼宇、安装位置等基本信息。</w:t>
      </w:r>
      <w:r/>
    </w:p>
    <w:p>
      <w:pPr>
        <w:pStyle w:val="739"/>
        <w:ind w:firstLine="480"/>
        <w:spacing w:before="0" w:line="400" w:lineRule="exact"/>
        <w:rPr>
          <w:rFonts w:hint="eastAsia"/>
          <w:sz w:val="21"/>
        </w:rPr>
        <w:outlineLvl w:val="2"/>
      </w:pPr>
      <w:r>
        <w:rPr>
          <w:rFonts w:hint="eastAsia"/>
          <w:sz w:val="21"/>
        </w:rPr>
        <w:t xml:space="preserve">（7）可实现所有在线设备自动发现设备的端口使用情况，实现所有设备的可视化。</w:t>
      </w:r>
      <w:r/>
    </w:p>
    <w:p>
      <w:pPr>
        <w:pStyle w:val="739"/>
        <w:ind w:firstLine="480"/>
        <w:spacing w:before="0" w:line="400" w:lineRule="exact"/>
        <w:rPr>
          <w:rFonts w:hint="eastAsia"/>
          <w:sz w:val="21"/>
        </w:rPr>
        <w:outlineLvl w:val="2"/>
      </w:pPr>
      <w:r>
        <w:rPr>
          <w:rFonts w:hint="eastAsia"/>
          <w:sz w:val="21"/>
        </w:rPr>
        <w:t xml:space="preserve">（8）可实现资产使用的可视化统计，并且为后期学校的数字化建设提供底层数据。</w:t>
      </w:r>
      <w:r/>
    </w:p>
    <w:p>
      <w:pPr>
        <w:pStyle w:val="739"/>
        <w:ind w:firstLine="480"/>
        <w:spacing w:before="0" w:line="400" w:lineRule="exact"/>
        <w:rPr>
          <w:rFonts w:hint="eastAsia"/>
          <w:sz w:val="21"/>
        </w:rPr>
        <w:outlineLvl w:val="2"/>
      </w:pPr>
      <w:r>
        <w:rPr>
          <w:rFonts w:hint="eastAsia"/>
          <w:sz w:val="21"/>
        </w:rPr>
        <w:t xml:space="preserve">（9）可实现对哑终端类设备地址分配、绑定或白名单等功能，实现安全管理。</w:t>
      </w:r>
      <w:r/>
    </w:p>
    <w:p>
      <w:pPr>
        <w:pStyle w:val="739"/>
        <w:ind w:firstLine="480"/>
        <w:spacing w:before="0" w:line="400" w:lineRule="exact"/>
        <w:rPr>
          <w:rFonts w:hint="eastAsia"/>
          <w:sz w:val="21"/>
        </w:rPr>
      </w:pPr>
      <w:r>
        <w:rPr>
          <w:rFonts w:hint="eastAsia"/>
          <w:sz w:val="21"/>
        </w:rPr>
      </w:r>
      <w:r/>
    </w:p>
    <w:p>
      <w:pPr>
        <w:pStyle w:val="1017"/>
        <w:numPr>
          <w:ilvl w:val="0"/>
          <w:numId w:val="5"/>
        </w:numPr>
        <w:jc w:val="both"/>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技术要求</w:t>
      </w:r>
      <w:r/>
    </w:p>
    <w:p>
      <w:pPr>
        <w:numPr>
          <w:ilvl w:val="0"/>
          <w:numId w:val="9"/>
        </w:numPr>
        <w:spacing w:line="276"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sz w:val="24"/>
          <w:szCs w:val="24"/>
        </w:rPr>
        <w:t xml:space="preserve">基本要求：</w:t>
      </w:r>
      <w:r>
        <w:rPr>
          <w:rFonts w:hint="eastAsia" w:asciiTheme="minorEastAsia" w:hAnsiTheme="minorEastAsia" w:eastAsiaTheme="minorEastAsia" w:cstheme="minorEastAsia"/>
          <w:b/>
          <w:bCs/>
          <w:color w:val="auto"/>
          <w:sz w:val="24"/>
          <w:szCs w:val="24"/>
        </w:rPr>
        <w:t xml:space="preserve"> </w:t>
      </w:r>
      <w:r/>
    </w:p>
    <w:tbl>
      <w:tblPr>
        <w:tblStyle w:val="735"/>
        <w:tblW w:w="8294" w:type="dxa"/>
        <w:tblInd w:w="93" w:type="dxa"/>
        <w:tblLayout w:type="fixed"/>
        <w:tblCellMar>
          <w:left w:w="108" w:type="dxa"/>
          <w:top w:w="0" w:type="dxa"/>
          <w:right w:w="108" w:type="dxa"/>
          <w:bottom w:w="0" w:type="dxa"/>
        </w:tblCellMar>
        <w:tblLook w:val="04A0" w:firstRow="1" w:lastRow="0" w:firstColumn="1" w:lastColumn="0" w:noHBand="0" w:noVBand="1"/>
      </w:tblPr>
      <w:tblGrid>
        <w:gridCol w:w="899"/>
        <w:gridCol w:w="4995"/>
        <w:gridCol w:w="1140"/>
        <w:gridCol w:w="1260"/>
      </w:tblGrid>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序号</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数量</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单位</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一</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校园网</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校园网核心</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校园网核心交换机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校园网汇聚</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以太光汇聚交换机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1.3</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无线网络</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val="false"/>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无线AP管理授权</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default" w:asciiTheme="majorEastAsia" w:hAnsiTheme="majorEastAsia" w:eastAsiaTheme="majorEastAsia" w:cstheme="majorEastAsia"/>
                <w:color w:val="auto"/>
                <w:lang w:val="en-US" w:eastAsia="zh-CN"/>
              </w:rPr>
            </w:pPr>
            <w:r>
              <w:rPr>
                <w:rFonts w:hint="eastAsia" w:asciiTheme="majorEastAsia" w:hAnsiTheme="majorEastAsia" w:eastAsiaTheme="majorEastAsia" w:cstheme="majorEastAsia"/>
                <w:color w:val="auto"/>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bidi="ar"/>
              </w:rPr>
              <w:t xml:space="preserve">点</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面板式无线AP</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放装式无线AP</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84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放装式高密无线AP</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室外无线AP</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1.4</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接入设备</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8口光接入设备</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24口光接入设备</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non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3</w:t>
            </w:r>
            <w:r/>
          </w:p>
        </w:tc>
        <w:tc>
          <w:tcPr>
            <w:tcBorders>
              <w:top w:val="single" w:color="000000" w:sz="4" w:space="0"/>
              <w:left w:val="single" w:color="000000" w:sz="4" w:space="0"/>
              <w:bottom w:val="non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教室24口光接入设备</w:t>
            </w:r>
            <w:r/>
          </w:p>
        </w:tc>
        <w:tc>
          <w:tcPr>
            <w:tcBorders>
              <w:top w:val="single" w:color="000000" w:sz="4" w:space="0"/>
              <w:left w:val="single" w:color="000000" w:sz="4" w:space="0"/>
              <w:bottom w:val="non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12</w:t>
            </w:r>
            <w:r/>
          </w:p>
        </w:tc>
        <w:tc>
          <w:tcPr>
            <w:tcBorders>
              <w:top w:val="single" w:color="000000" w:sz="4" w:space="0"/>
              <w:left w:val="single" w:color="000000" w:sz="4" w:space="0"/>
              <w:bottom w:val="non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24口POE接入设备</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1.5</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光传输</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highlight w:val="yellow"/>
              </w:rPr>
            </w:pPr>
            <w:r>
              <w:rPr>
                <w:rFonts w:hint="eastAsia" w:asciiTheme="majorEastAsia" w:hAnsiTheme="majorEastAsia" w:eastAsiaTheme="majorEastAsia" w:cstheme="majorEastAsia"/>
                <w:color w:val="000000"/>
                <w:highlight w:val="yellow"/>
                <w:lang w:bidi="ar"/>
              </w:rPr>
              <w:t xml:space="preserve">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highlight w:val="yellow"/>
              </w:rPr>
            </w:pPr>
            <w:r>
              <w:rPr>
                <w:rFonts w:hint="eastAsia" w:asciiTheme="majorEastAsia" w:hAnsiTheme="majorEastAsia" w:eastAsiaTheme="majorEastAsia" w:cstheme="majorEastAsia"/>
                <w:color w:val="000000"/>
                <w:highlight w:val="yellow"/>
                <w:lang w:bidi="ar"/>
              </w:rPr>
              <w:t xml:space="preserve">光模块</w:t>
            </w:r>
            <w:r>
              <w:rPr>
                <w:rFonts w:hint="eastAsia" w:asciiTheme="minorEastAsia" w:hAnsiTheme="minorEastAsia" w:eastAsiaTheme="minorEastAsia" w:cstheme="minorEastAsia"/>
                <w:color w:val="auto"/>
                <w:highlight w:val="yellow"/>
                <w:lang w:eastAsia="zh-CN" w:bidi="ar"/>
              </w:rPr>
              <w:t xml:space="preserve">（</w:t>
            </w:r>
            <w:r>
              <w:rPr>
                <w:rFonts w:hint="eastAsia" w:asciiTheme="minorEastAsia" w:hAnsiTheme="minorEastAsia" w:eastAsiaTheme="minorEastAsia" w:cstheme="minorEastAsia"/>
                <w:color w:val="auto"/>
                <w:highlight w:val="yellow"/>
                <w:lang w:val="en-US" w:eastAsia="zh-CN" w:bidi="ar"/>
              </w:rPr>
              <w:t xml:space="preserve">万兆</w:t>
            </w:r>
            <w:r>
              <w:rPr>
                <w:rFonts w:hint="eastAsia" w:asciiTheme="minorEastAsia" w:hAnsiTheme="minorEastAsia" w:eastAsiaTheme="minorEastAsia" w:cstheme="minorEastAsia"/>
                <w:color w:val="auto"/>
                <w:highlight w:val="yellow"/>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highlight w:val="yellow"/>
              </w:rPr>
            </w:pPr>
            <w:r>
              <w:rPr>
                <w:rFonts w:hint="eastAsia" w:asciiTheme="majorEastAsia" w:hAnsiTheme="majorEastAsia" w:eastAsiaTheme="majorEastAsia" w:cstheme="majorEastAsia"/>
                <w:color w:val="000000"/>
                <w:highlight w:val="yellow"/>
                <w:lang w:bidi="ar"/>
              </w:rPr>
              <w:t xml:space="preserve">568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highlight w:val="yellow"/>
              </w:rPr>
            </w:pPr>
            <w:r>
              <w:rPr>
                <w:rFonts w:hint="eastAsia" w:asciiTheme="majorEastAsia" w:hAnsiTheme="majorEastAsia" w:eastAsiaTheme="majorEastAsia" w:cstheme="majorEastAsia"/>
                <w:color w:val="000000"/>
                <w:highlight w:val="yellow"/>
                <w:lang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光纤跳线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1136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对</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二</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酒店网</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2.1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酒店网核心</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酒店网核心交换机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auto"/>
              </w:rPr>
            </w:pPr>
            <w:r>
              <w:rPr>
                <w:rFonts w:hint="eastAsia" w:asciiTheme="majorEastAsia" w:hAnsiTheme="majorEastAsia" w:eastAsiaTheme="majorEastAsia" w:cstheme="majorEastAsia"/>
                <w:b/>
                <w:bCs/>
                <w:color w:val="auto"/>
                <w:lang w:bidi="ar"/>
              </w:rPr>
              <w:t xml:space="preserve">2.2</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auto"/>
              </w:rPr>
            </w:pPr>
            <w:r>
              <w:rPr>
                <w:rFonts w:hint="eastAsia" w:asciiTheme="majorEastAsia" w:hAnsiTheme="majorEastAsia" w:eastAsiaTheme="majorEastAsia" w:cstheme="majorEastAsia"/>
                <w:b/>
                <w:bCs/>
                <w:color w:val="auto"/>
                <w:lang w:bidi="ar"/>
              </w:rPr>
              <w:t xml:space="preserve">酒店网汇聚</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bidi="ar"/>
              </w:rPr>
              <w:t xml:space="preserve">48光口汇聚交换机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bidi="ar"/>
              </w:rPr>
              <w:t xml:space="preserve">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2.3</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无线网络</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val="false"/>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无线AC控制器</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面板式无线AP</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178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放装式无线AP</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50</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放装式高密无线AP</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室外无线AP</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2.4</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接入设备</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8电口千兆交换机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24口千兆接入交换机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24电口千兆POE交换机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8电口POE千兆交换机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166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2.5</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光传输</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auto"/>
                <w:highlight w:val="yellow"/>
              </w:rPr>
            </w:pPr>
            <w:r>
              <w:rPr>
                <w:rFonts w:hint="eastAsia" w:asciiTheme="majorEastAsia" w:hAnsiTheme="majorEastAsia" w:eastAsiaTheme="majorEastAsia" w:cstheme="majorEastAsia"/>
                <w:color w:val="auto"/>
                <w:highlight w:val="yellow"/>
                <w:lang w:bidi="ar"/>
              </w:rPr>
              <w:t xml:space="preserve">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auto"/>
                <w:highlight w:val="yellow"/>
              </w:rPr>
            </w:pPr>
            <w:r>
              <w:rPr>
                <w:rFonts w:hint="eastAsia" w:asciiTheme="majorEastAsia" w:hAnsiTheme="majorEastAsia" w:eastAsiaTheme="majorEastAsia" w:cstheme="majorEastAsia"/>
                <w:color w:val="auto"/>
                <w:highlight w:val="yellow"/>
                <w:lang w:bidi="ar"/>
              </w:rPr>
              <w:t xml:space="preserve">万兆光模块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auto"/>
                <w:highlight w:val="yellow"/>
              </w:rPr>
            </w:pPr>
            <w:r>
              <w:rPr>
                <w:rFonts w:hint="eastAsia" w:asciiTheme="majorEastAsia" w:hAnsiTheme="majorEastAsia" w:eastAsiaTheme="majorEastAsia" w:cstheme="majorEastAsia"/>
                <w:color w:val="auto"/>
                <w:highlight w:val="yellow"/>
                <w:lang w:bidi="ar"/>
              </w:rPr>
              <w:t xml:space="preserve">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auto"/>
                <w:highlight w:val="yellow"/>
              </w:rPr>
            </w:pPr>
            <w:r>
              <w:rPr>
                <w:rFonts w:hint="eastAsia" w:asciiTheme="majorEastAsia" w:hAnsiTheme="majorEastAsia" w:eastAsiaTheme="majorEastAsia" w:cstheme="majorEastAsia"/>
                <w:color w:val="auto"/>
                <w:highlight w:val="yellow"/>
                <w:lang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bidi="ar"/>
              </w:rPr>
              <w:t xml:space="preserve">2</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bidi="ar"/>
              </w:rPr>
              <w:t xml:space="preserve">千兆光模块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bidi="ar"/>
              </w:rPr>
              <w:t xml:space="preserve">432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bidi="ar"/>
              </w:rPr>
              <w:t xml:space="preserve">3</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bidi="ar"/>
              </w:rPr>
              <w:t xml:space="preserve">光纤跳线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bidi="ar"/>
              </w:rPr>
              <w:t xml:space="preserve">468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bidi="ar"/>
              </w:rPr>
              <w:t xml:space="preserve">对</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三</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网络运维管理</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网络管理系统</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网络设备管理服务器（框架协议采购）</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链路监测服务器（框架协议采购）</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哑终端管理服务器（框架协议采购）</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数据库服务器（框架协议采购）</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四</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机房业务交换机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中心机房汇聚交换机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千兆业务网接入交换机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五</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lang w:bidi="ar"/>
              </w:rPr>
              <w:t xml:space="preserve">一期汇聚交换机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汇聚交换机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4995" w:type="dxa"/>
            <w:vAlign w:val="center"/>
            <w:textDirection w:val="lrTb"/>
            <w:noWrap/>
          </w:tcPr>
          <w:p>
            <w:pPr>
              <w:jc w:val="left"/>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光纤跳线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480</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lang w:bidi="ar"/>
              </w:rPr>
              <w:t xml:space="preserve">对</w:t>
            </w:r>
            <w:r/>
          </w:p>
        </w:tc>
      </w:tr>
    </w:tbl>
    <w:p>
      <w:pPr>
        <w:spacing w:line="360" w:lineRule="auto"/>
      </w:pPr>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2.服务内容及要求/货物技术要求：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下表所列技术参数中打“★”项为实质性技术参数，打“▲”参数为重要参数，其余为一般性技术参数。</w:t>
      </w:r>
      <w:r/>
    </w:p>
    <w:tbl>
      <w:tblPr>
        <w:tblStyle w:val="735"/>
        <w:tblW w:w="8733" w:type="dxa"/>
        <w:jc w:val="center"/>
        <w:tblLayout w:type="fixed"/>
        <w:tblCellMar>
          <w:left w:w="108" w:type="dxa"/>
          <w:top w:w="0" w:type="dxa"/>
          <w:right w:w="108" w:type="dxa"/>
          <w:bottom w:w="0" w:type="dxa"/>
        </w:tblCellMar>
        <w:tblLook w:val="04A0" w:firstRow="1" w:lastRow="0" w:firstColumn="1" w:lastColumn="0" w:noHBand="0" w:noVBand="1"/>
      </w:tblPr>
      <w:tblGrid>
        <w:gridCol w:w="648"/>
        <w:gridCol w:w="1559"/>
        <w:gridCol w:w="6526"/>
      </w:tblGrid>
      <w:tr>
        <w:trPr>
          <w:jc w:val="center"/>
          <w:tblHead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规格参数</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一</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校园网</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center"/>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校园网核心</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left"/>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lang w:eastAsia="zh-CN"/>
              </w:rPr>
            </w:pPr>
            <w:r>
              <w:rPr>
                <w:rFonts w:hint="eastAsia" w:asciiTheme="minorEastAsia" w:hAnsiTheme="minorEastAsia" w:eastAsiaTheme="minorEastAsia" w:cstheme="minorEastAsia"/>
                <w:color w:val="000000"/>
                <w:lang w:bidi="ar"/>
              </w:rPr>
              <w:t xml:space="preserve">校园网核心交换机</w:t>
            </w:r>
            <w:r>
              <w:rPr>
                <w:rFonts w:hint="eastAsia" w:asciiTheme="minorEastAsia" w:hAnsiTheme="minorEastAsia" w:eastAsiaTheme="minorEastAsia" w:cstheme="minorEastAsia"/>
                <w:b/>
                <w:bCs/>
                <w:color w:val="auto"/>
                <w:lang w:eastAsia="zh-CN" w:bidi="ar"/>
              </w:rPr>
              <w:t xml:space="preserve">（</w:t>
            </w:r>
            <w:r>
              <w:rPr>
                <w:rFonts w:hint="eastAsia" w:asciiTheme="minorEastAsia" w:hAnsiTheme="minorEastAsia" w:eastAsiaTheme="minorEastAsia" w:cstheme="minorEastAsia"/>
                <w:b/>
                <w:bCs/>
                <w:color w:val="auto"/>
                <w:lang w:val="en-US" w:eastAsia="zh-CN" w:bidi="ar"/>
              </w:rPr>
              <w:t xml:space="preserve">核心产品</w:t>
            </w:r>
            <w:r>
              <w:rPr>
                <w:rFonts w:hint="eastAsia" w:asciiTheme="minorEastAsia" w:hAnsiTheme="minorEastAsia" w:eastAsiaTheme="minorEastAsia" w:cstheme="minorEastAsia"/>
                <w:b/>
                <w:bCs/>
                <w:color w:val="auto"/>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Theme="minorEastAsia" w:hAnsiTheme="minorEastAsia" w:eastAsiaTheme="minorEastAsia" w:cstheme="minorEastAsia"/>
                <w:color w:val="auto"/>
                <w:lang w:bidi="ar"/>
              </w:rPr>
            </w:pPr>
            <w:r>
              <w:rPr>
                <w:rFonts w:hint="eastAsia" w:asciiTheme="minorEastAsia" w:hAnsiTheme="minorEastAsia" w:eastAsiaTheme="minorEastAsia" w:cstheme="minorEastAsia"/>
                <w:b/>
                <w:bCs/>
                <w:color w:val="000000"/>
                <w:lang w:bidi="ar"/>
              </w:rPr>
              <w:t xml:space="preserve">硬件架构与性能指标：</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1.为了保证设备有良好的散热功能，实配模块化风扇框，采用冗余设计，可热插拔，当单个风扇发生故障时，有其他风扇正常运行，保证设备散热。</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2.为了适应机柜并排部署，设备机箱（包括业务板卡区）采用后出风或侧出风道设计。</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3.采用CLOS交换架构；</w:t>
            </w:r>
            <w:r>
              <w:rPr>
                <w:rFonts w:hint="eastAsia" w:ascii="宋体" w:hAnsi="宋体" w:cs="宋体"/>
              </w:rPr>
              <w:t xml:space="preserve">提供原厂白皮书或者产品画册或者（产品官网链接和截图）。</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4.主控槽位数≥2，业务槽位数≥8，交换网板槽位≥4个；整机交换容量≥25Tbps，包转发率≥5000Mpps。</w:t>
            </w:r>
            <w:r>
              <w:rPr>
                <w:rFonts w:hint="eastAsia" w:ascii="宋体" w:hAnsi="宋体" w:cs="宋体"/>
              </w:rPr>
              <w:t xml:space="preserve">提供原厂白皮书或者产品画册或者（产品官网链接和截图）或者第三方检测机构出具的检测报告扫描件。</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b/>
                <w:bCs/>
                <w:color w:val="000000"/>
                <w:lang w:bidi="ar"/>
              </w:rPr>
              <w:t xml:space="preserve">虚拟化：</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1.支持将多台物理设备虚拟化为一台逻辑设备，统一运行管理，大幅减少网络节点，降低网络运维管理人员工作量；</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功能性：</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1.支持 IPv4/IPv6 双协议栈；</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2.支持MPLS/VPLS，VRF（或类似技术）；</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3.支持Portal认证、支持RADIUS和TACACS+用户登录认证；</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4支持热补丁功能，可在线进行补丁升级；</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5.支持BFD，BFD for VRRP/OSPF/BGP4/ISIS/ISISv6/MPLS/静态路由等;                                                               </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6.QOS：支持端口流量识别、端口流量限速；</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b/>
                <w:bCs/>
                <w:color w:val="000000"/>
                <w:lang w:bidi="ar"/>
              </w:rPr>
              <w:t xml:space="preserve">无线管理：</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1.支持融合无线 AC或无线 AC 业务板卡或独立无线AC，实现对AP的接入控制、AP域管理、有线无线用户的统一认证管理。</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2.最大管理AP数≥512，在双频模式下，优先引导用户使用5Ghz频段。</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3.支持MAC认证、Portal认证、WAPI认证。</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4.用户首次认证成功接入后，以后不需要接入网络认证时再次输入用户名密码，系统会自动记录用户信息并且与设备绑定。</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5.数据转发性能≥10Gbps。</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6.支持射频管理功能，可自动调整功率和信道，故障AP覆盖黑洞补盲。</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7.支持频谱分析或优化功能，可对无线干扰源进行识别或过滤，提升无线场景中的质量保障效果。</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8.支持负载分担功能，支持基于流量或用户数的AP负载分担。</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9.支持用户在 AC 内和AC间的漫游。</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10.支持设备冗余备份功能，可支持N（N≥1）+1备份。</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11.支持静态路由，RIP-1/RIP-2，OSPF，BGP，IS-IS，路由策略、策略路由。</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单台配置要求如下</w:t>
            </w:r>
            <w:r>
              <w:rPr>
                <w:rFonts w:hint="eastAsia" w:ascii="宋体" w:hAnsi="宋体" w:cs="宋体"/>
                <w:b/>
                <w:bCs/>
                <w:lang w:bidi="ar"/>
              </w:rPr>
              <w:t xml:space="preserve">（</w:t>
            </w:r>
            <w:r>
              <w:rPr>
                <w:rFonts w:hint="eastAsia" w:ascii="宋体" w:hAnsi="宋体" w:cs="宋体"/>
                <w:b/>
                <w:bCs/>
              </w:rPr>
              <w:t xml:space="preserve">提供原厂白皮书或者产品画册或者（产品官网链接和截图）或者第三方检测机构出具的检测报告扫描件</w:t>
            </w:r>
            <w:r>
              <w:rPr>
                <w:rFonts w:hint="eastAsia" w:ascii="宋体" w:hAnsi="宋体" w:cs="宋体"/>
                <w:b/>
                <w:bCs/>
                <w:lang w:bidi="ar"/>
              </w:rPr>
              <w:t xml:space="preserve">）</w:t>
            </w:r>
            <w:r>
              <w:rPr>
                <w:rFonts w:hint="eastAsia" w:asciiTheme="minorEastAsia" w:hAnsiTheme="minorEastAsia" w:eastAsiaTheme="minorEastAsia" w:cstheme="minorEastAsia"/>
                <w:color w:val="000000"/>
                <w:lang w:bidi="ar"/>
              </w:rPr>
              <w:t xml:space="preserve">：</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1.1+1冗余电源、双主控引擎，业务插槽≥8，满配交换网板；</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2.≥48个千兆电口、≥48个万兆光口，≥2个40G光口，≥10个100G光口；</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3.要求实配横向虚拟化功能，每台配置万兆虚拟化线缆不低于1根，</w:t>
            </w:r>
            <w:r>
              <w:rPr>
                <w:rFonts w:hint="eastAsia" w:asciiTheme="minorEastAsia" w:hAnsiTheme="minorEastAsia" w:eastAsiaTheme="minorEastAsia" w:cstheme="minorEastAsia"/>
                <w:color w:val="auto"/>
                <w:lang w:bidi="ar"/>
              </w:rPr>
              <w:t xml:space="preserve">满配40G光模块、100G光模块。</w:t>
            </w:r>
            <w:r/>
          </w:p>
          <w:p>
            <w:pPr>
              <w:pStyle w:val="736"/>
              <w:ind w:firstLine="0"/>
              <w:rPr>
                <w:rFonts w:hint="eastAsia" w:asciiTheme="minorEastAsia" w:hAnsiTheme="minorEastAsia" w:eastAsiaTheme="minorEastAsia" w:cstheme="minorEastAsia"/>
                <w:color w:val="ff0000"/>
                <w:sz w:val="21"/>
                <w:szCs w:val="21"/>
                <w:lang w:eastAsia="zh-CN" w:bidi="ar"/>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.所投产品具备工业和信息化部颁发的进网许可证（CTA认证），</w:t>
            </w:r>
            <w:r>
              <w:rPr>
                <w:rFonts w:hint="eastAsia" w:asciiTheme="minorEastAsia" w:hAnsiTheme="minorEastAsia" w:eastAsiaTheme="minorEastAsia" w:cstheme="minorEastAsia"/>
                <w:color w:val="auto"/>
                <w:sz w:val="21"/>
                <w:szCs w:val="21"/>
                <w:lang w:eastAsia="zh-CN"/>
              </w:rPr>
              <w:t xml:space="preserve">投标</w:t>
            </w:r>
            <w:r>
              <w:rPr>
                <w:rFonts w:hint="eastAsia" w:asciiTheme="minorEastAsia" w:hAnsiTheme="minorEastAsia" w:eastAsiaTheme="minorEastAsia" w:cstheme="minorEastAsia"/>
                <w:color w:val="auto"/>
                <w:sz w:val="21"/>
                <w:szCs w:val="21"/>
                <w:lang w:bidi="ar"/>
              </w:rPr>
              <w:t xml:space="preserve">时须提供：进网许可证清晰扫描件；工信部官网查询结果截图，显示设备型号、生产企业、许可证编号及状态为“有效”。</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校园网汇聚</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left"/>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以太光汇聚交换机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Theme="minorEastAsia" w:hAnsiTheme="minorEastAsia" w:eastAsiaTheme="minorEastAsia" w:cstheme="minorEastAsia"/>
                <w:color w:val="auto"/>
                <w:lang w:bidi="ar"/>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1.交换容量≥15T，包转发速率≥3000Mpps。</w:t>
            </w:r>
            <w:r>
              <w:rPr>
                <w:rFonts w:hint="eastAsia" w:ascii="宋体" w:hAnsi="宋体" w:cs="宋体"/>
              </w:rPr>
              <w:t xml:space="preserve">提供原厂白皮书或者产品画册或者（产品官网链接和截图）或者第三方检测机构出具的检测报告扫描件。</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2.支持RIP，OSPF，BGP，RIPng，OSPFv3，BGP4+；</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3.支持多虚一技术，可将多台物理设备虚拟化为一台逻辑设备统一管理；</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4.支持同时开启802.1X或WEB认证/PORTAL；                                                                                                     </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5.QOS：支持端口流量识别、端口流量限速；</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6.配置：冗余电源100G光接口≥2个，10G物理或者逻辑接口数≥160个，从而满足160间入室交换机通过10G以太网带宽上行到互联接口；所需设备的数量按需配置。提供承诺函加盖投标公章。</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7.设备要求：可</w:t>
            </w:r>
            <w:r>
              <w:rPr>
                <w:rFonts w:hint="eastAsia" w:asciiTheme="minorEastAsia" w:hAnsiTheme="minorEastAsia" w:eastAsiaTheme="minorEastAsia" w:cstheme="minorEastAsia"/>
                <w:color w:val="auto"/>
                <w:lang w:bidi="ar"/>
              </w:rPr>
              <w:t xml:space="preserve">接受无源光汇聚设备与汇聚交换机采用分离式部署，无源光汇聚设备与汇聚交换机单机之间互联带宽≥80G。</w:t>
            </w:r>
            <w:r/>
          </w:p>
          <w:p>
            <w:pPr>
              <w:pStyle w:val="736"/>
              <w:ind w:firstLine="0"/>
              <w:rPr>
                <w:rFonts w:hint="eastAsia" w:eastAsia="宋体"/>
                <w:lang w:eastAsia="zh-CN"/>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.所投产品具备工业和信息化部颁发的进网许可证（CTA认证），</w:t>
            </w:r>
            <w:r>
              <w:rPr>
                <w:rFonts w:hint="eastAsia" w:asciiTheme="minorEastAsia" w:hAnsiTheme="minorEastAsia" w:eastAsiaTheme="minorEastAsia" w:cstheme="minorEastAsia"/>
                <w:color w:val="auto"/>
                <w:sz w:val="21"/>
                <w:szCs w:val="21"/>
                <w:lang w:eastAsia="zh-CN"/>
              </w:rPr>
              <w:t xml:space="preserve">投标</w:t>
            </w:r>
            <w:r>
              <w:rPr>
                <w:rFonts w:hint="eastAsia" w:asciiTheme="minorEastAsia" w:hAnsiTheme="minorEastAsia" w:eastAsiaTheme="minorEastAsia" w:cstheme="minorEastAsia"/>
                <w:color w:val="auto"/>
                <w:sz w:val="21"/>
                <w:szCs w:val="21"/>
                <w:lang w:bidi="ar"/>
              </w:rPr>
              <w:t xml:space="preserve">时须提供：进网许可证清晰扫描件；工信部官网查询结果截图，显示设备型号、生产企业、许可证编号及状态为“有效”。</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无线网络</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left"/>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无线AP管理授权</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1.实现无线控制器对AP的统一管理。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面板式无线AP</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1.支持胖/瘦AP两种工作模式；</w:t>
            </w:r>
            <w:r/>
          </w:p>
          <w:p>
            <w:pPr>
              <w:jc w:val="left"/>
              <w:spacing w:line="400" w:lineRule="exact"/>
              <w:widowControl/>
              <w:rPr>
                <w:rFonts w:hint="eastAsia" w:ascii="宋体" w:hAnsi="宋体" w:cs="宋体"/>
              </w:rPr>
            </w:pPr>
            <w:r>
              <w:rPr>
                <w:rFonts w:hint="eastAsia" w:ascii="宋体" w:hAnsi="宋体" w:cs="宋体"/>
              </w:rPr>
              <w:t xml:space="preserve">★2. 协议标准：同时支持802.11a/b/g/n/ac/ac wave2/ax协议标准；提供原厂白皮书或者产品画册或者（产品官网链接和截图）或者第三方检测机构出具的检测报告扫描件。</w:t>
            </w:r>
            <w:r/>
          </w:p>
          <w:p>
            <w:pPr>
              <w:jc w:val="left"/>
              <w:spacing w:line="400" w:lineRule="exact"/>
              <w:widowControl/>
              <w:rPr>
                <w:rFonts w:hint="eastAsia" w:ascii="宋体" w:hAnsi="宋体" w:cs="宋体"/>
              </w:rPr>
            </w:pPr>
            <w:r>
              <w:rPr>
                <w:rFonts w:hint="eastAsia" w:ascii="宋体" w:hAnsi="宋体" w:cs="宋体"/>
              </w:rPr>
              <w:t xml:space="preserve">3. 安装方式：支持面板、挂墙、桌面等安装方式，可安装在86面板盒上；</w:t>
            </w:r>
            <w:r/>
          </w:p>
          <w:p>
            <w:pPr>
              <w:jc w:val="left"/>
              <w:spacing w:line="400" w:lineRule="exact"/>
              <w:widowControl/>
              <w:rPr>
                <w:rFonts w:hint="eastAsia" w:ascii="宋体" w:hAnsi="宋体" w:cs="宋体"/>
              </w:rPr>
            </w:pPr>
            <w:r>
              <w:rPr>
                <w:rFonts w:hint="eastAsia" w:ascii="宋体" w:hAnsi="宋体" w:cs="宋体"/>
              </w:rPr>
              <w:t xml:space="preserve">★4. 射频：所有射频都支持MU-MIMO，≥4空间流，整机速率≥2.9Gbps；提供原厂白皮书或者产品画册或者（产品官网链接和截图）或者第三方检测机构出具的检测报告扫描件。</w:t>
            </w:r>
            <w:r/>
          </w:p>
          <w:p>
            <w:pPr>
              <w:jc w:val="left"/>
              <w:spacing w:line="400" w:lineRule="exact"/>
              <w:widowControl/>
              <w:rPr>
                <w:rFonts w:hint="eastAsia" w:ascii="宋体" w:hAnsi="宋体" w:cs="宋体"/>
              </w:rPr>
            </w:pPr>
            <w:r>
              <w:rPr>
                <w:rFonts w:hint="eastAsia" w:ascii="宋体" w:hAnsi="宋体" w:cs="宋体"/>
              </w:rPr>
              <w:t xml:space="preserve">5. 接口：≥1个GE上行接口，≥1个GE下行接口；</w:t>
            </w:r>
            <w:r/>
          </w:p>
          <w:p>
            <w:pPr>
              <w:jc w:val="left"/>
              <w:spacing w:line="400" w:lineRule="exact"/>
              <w:widowControl/>
              <w:rPr>
                <w:rFonts w:hint="eastAsia" w:ascii="宋体" w:hAnsi="宋体" w:cs="宋体"/>
                <w:color w:val="auto"/>
              </w:rPr>
            </w:pPr>
            <w:r>
              <w:rPr>
                <w:rFonts w:hint="eastAsia" w:ascii="宋体" w:hAnsi="宋体" w:cs="宋体"/>
              </w:rPr>
              <w:t xml:space="preserve">6. 天线：内置</w:t>
            </w:r>
            <w:r>
              <w:rPr>
                <w:rFonts w:hint="eastAsia" w:ascii="宋体" w:hAnsi="宋体" w:cs="宋体"/>
                <w:color w:val="auto"/>
              </w:rPr>
              <w:t xml:space="preserve">智能天线，可有效提升覆盖范围；</w:t>
            </w:r>
            <w:r/>
          </w:p>
          <w:p>
            <w:pPr>
              <w:jc w:val="left"/>
              <w:spacing w:line="400" w:lineRule="exact"/>
              <w:widowControl/>
              <w:rPr>
                <w:rFonts w:hint="eastAsia" w:ascii="宋体" w:hAnsi="宋体" w:cs="宋体"/>
                <w:color w:val="auto"/>
              </w:rPr>
            </w:pPr>
            <w:r>
              <w:rPr>
                <w:rFonts w:hint="eastAsia" w:ascii="宋体" w:hAnsi="宋体" w:cs="宋体"/>
                <w:color w:val="auto"/>
              </w:rPr>
              <w:t xml:space="preserve">7.内置蓝牙5.0</w:t>
            </w:r>
            <w:r>
              <w:rPr>
                <w:rFonts w:hint="eastAsia" w:ascii="宋体" w:hAnsi="宋体" w:cs="宋体"/>
                <w:color w:val="auto"/>
                <w:lang w:val="en-US" w:eastAsia="zh-CN"/>
              </w:rPr>
              <w:t xml:space="preserve">及以上</w:t>
            </w:r>
            <w:r>
              <w:rPr>
                <w:rFonts w:hint="eastAsia" w:ascii="宋体" w:hAnsi="宋体" w:cs="宋体"/>
                <w:color w:val="auto"/>
              </w:rPr>
              <w:t xml:space="preserve">或者RFID，可实现蓝牙终端精确定位，提供官网截图或其他证明材料扫描件；</w:t>
            </w:r>
            <w:r/>
          </w:p>
          <w:p>
            <w:pPr>
              <w:jc w:val="left"/>
              <w:spacing w:line="400" w:lineRule="exact"/>
              <w:widowControl/>
              <w:rPr>
                <w:rFonts w:hint="eastAsia" w:ascii="宋体" w:hAnsi="宋体" w:cs="宋体"/>
              </w:rPr>
            </w:pPr>
            <w:r>
              <w:rPr>
                <w:rFonts w:hint="eastAsia" w:ascii="宋体" w:hAnsi="宋体" w:cs="宋体"/>
              </w:rPr>
              <w:t xml:space="preserve">8. 发射功率≥20dBm，支持按1dB步长调整发射功率；</w:t>
            </w:r>
            <w:r/>
          </w:p>
          <w:p>
            <w:pPr>
              <w:jc w:val="left"/>
              <w:spacing w:line="400" w:lineRule="exact"/>
              <w:widowControl/>
              <w:rPr>
                <w:rFonts w:hint="eastAsia" w:ascii="宋体" w:hAnsi="宋体" w:cs="宋体"/>
                <w:b/>
                <w:bCs/>
                <w:lang w:bidi="ar"/>
              </w:rPr>
            </w:pPr>
            <w:r>
              <w:rPr>
                <w:rFonts w:hint="eastAsia" w:ascii="宋体" w:hAnsi="宋体" w:cs="宋体"/>
              </w:rPr>
              <w:t xml:space="preserve">▲9.功能特性：支持MAC认证、Portal认证、802.1X认证、WAPI认证、PSK认证模式 ，并可支持MAC + Portal混合认证；提供原厂白皮书或者产品画册或者（产品官网链接和截图）或者第三方检测机构出具的检测报告扫描件。</w:t>
            </w:r>
            <w:r/>
          </w:p>
          <w:p>
            <w:pPr>
              <w:jc w:val="left"/>
              <w:spacing w:line="400" w:lineRule="exact"/>
              <w:widowControl/>
              <w:rPr>
                <w:rFonts w:hint="eastAsia" w:ascii="宋体" w:hAnsi="宋体" w:cs="宋体"/>
              </w:rPr>
            </w:pPr>
            <w:r>
              <w:rPr>
                <w:rFonts w:hint="eastAsia" w:ascii="宋体" w:hAnsi="宋体" w:cs="宋体"/>
              </w:rPr>
              <w:t xml:space="preserve">10.供电：支持本地DC电源供电和PoE供电两种供电模式；</w:t>
            </w:r>
            <w:r/>
          </w:p>
          <w:p>
            <w:pPr>
              <w:jc w:val="left"/>
              <w:spacing w:line="400" w:lineRule="exact"/>
              <w:widowControl/>
              <w:rPr>
                <w:rFonts w:hint="eastAsia" w:ascii="宋体" w:hAnsi="宋体" w:cs="宋体"/>
              </w:rPr>
            </w:pPr>
            <w:r>
              <w:rPr>
                <w:rFonts w:hint="eastAsia" w:ascii="宋体" w:hAnsi="宋体" w:cs="宋体"/>
              </w:rPr>
              <w:t xml:space="preserve">11.支持AP本地转发（又称直接转发），提供官网截图或其他证明材料扫描件；</w:t>
            </w:r>
            <w:r/>
          </w:p>
          <w:p>
            <w:pPr>
              <w:jc w:val="left"/>
              <w:spacing w:line="400" w:lineRule="exact"/>
              <w:widowControl/>
              <w:rPr>
                <w:rFonts w:hint="eastAsia" w:eastAsia="宋体"/>
                <w:lang w:eastAsia="zh-CN"/>
              </w:rPr>
            </w:pPr>
            <w:r>
              <w:rPr>
                <w:rFonts w:hint="eastAsia" w:ascii="宋体" w:hAnsi="宋体" w:cs="宋体"/>
                <w:lang w:bidi="ar"/>
              </w:rPr>
              <w:t xml:space="preserve">★12.所投产品具有无线电发射设备型号核准证（SRRC认证），提供证书扫描件。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放装式无线AP</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 协议标准：同时支持802.11a/b/g/n/ac/ac wave2/ax协议标准，内置智能天线；提供原厂白皮书或者产品画册或者（产品官网链接和截图）或者第三方检测机构出具的检测报告扫描件。</w:t>
            </w:r>
            <w:r/>
          </w:p>
          <w:p>
            <w:pPr>
              <w:jc w:val="left"/>
              <w:spacing w:line="400" w:lineRule="exact"/>
              <w:widowControl/>
              <w:rPr>
                <w:rFonts w:hint="eastAsia" w:ascii="宋体" w:hAnsi="宋体" w:cs="宋体"/>
              </w:rPr>
            </w:pPr>
            <w:r>
              <w:rPr>
                <w:rFonts w:hint="eastAsia" w:ascii="宋体" w:hAnsi="宋体" w:cs="宋体"/>
              </w:rPr>
              <w:t xml:space="preserve">2. 安装方式：支持壁挂、吸顶等多种安装方式；</w:t>
            </w:r>
            <w:r/>
          </w:p>
          <w:p>
            <w:pPr>
              <w:jc w:val="left"/>
              <w:spacing w:line="400" w:lineRule="exact"/>
              <w:widowControl/>
              <w:rPr>
                <w:rFonts w:hint="eastAsia" w:ascii="宋体" w:hAnsi="宋体" w:cs="宋体"/>
              </w:rPr>
            </w:pPr>
            <w:r>
              <w:rPr>
                <w:rFonts w:hint="eastAsia" w:ascii="宋体" w:hAnsi="宋体" w:cs="宋体"/>
              </w:rPr>
              <w:t xml:space="preserve">3. ▲（1）射频：所有射频都支持MU-MIMO</w:t>
            </w:r>
            <w:r>
              <w:rPr>
                <w:rFonts w:hint="eastAsia" w:ascii="宋体" w:hAnsi="宋体" w:cs="宋体"/>
                <w:b/>
                <w:bCs/>
              </w:rPr>
              <w:t xml:space="preserve">，</w:t>
            </w:r>
            <w:r>
              <w:rPr>
                <w:rFonts w:hint="eastAsia" w:ascii="宋体" w:hAnsi="宋体" w:cs="宋体"/>
              </w:rPr>
              <w:t xml:space="preserve">≥8空间流，三射频设计，包括1个2.4G射频，2个5G射频；★（2）工作时整机最大速率≥2.975Gbps；提供原厂白皮书或者产品画册或者（产品官网链接和截图）或者第三方检测机构出具的检测报告扫描件。</w:t>
            </w:r>
            <w:r/>
          </w:p>
          <w:p>
            <w:pPr>
              <w:jc w:val="left"/>
              <w:spacing w:line="400" w:lineRule="exact"/>
              <w:widowControl/>
              <w:rPr>
                <w:rFonts w:hint="eastAsia" w:ascii="宋体" w:hAnsi="宋体" w:cs="宋体"/>
                <w:b/>
                <w:bCs/>
              </w:rPr>
            </w:pPr>
            <w:r>
              <w:rPr>
                <w:rFonts w:hint="eastAsia" w:ascii="宋体" w:hAnsi="宋体" w:cs="宋体"/>
              </w:rPr>
              <w:t xml:space="preserve">4. 接口：≥1个GE上行接口，≥1个GE下行接口；</w:t>
            </w:r>
            <w:r/>
          </w:p>
          <w:p>
            <w:pPr>
              <w:jc w:val="left"/>
              <w:spacing w:line="400" w:lineRule="exact"/>
              <w:widowControl/>
              <w:rPr>
                <w:rFonts w:hint="eastAsia" w:ascii="宋体" w:hAnsi="宋体" w:cs="宋体"/>
              </w:rPr>
            </w:pPr>
            <w:r>
              <w:rPr>
                <w:rFonts w:hint="eastAsia" w:ascii="宋体" w:hAnsi="宋体" w:cs="宋体"/>
              </w:rPr>
              <w:t xml:space="preserve">5.天线：内置智能天线，可有效提升覆盖范围；</w:t>
            </w:r>
            <w:r/>
          </w:p>
          <w:p>
            <w:pPr>
              <w:jc w:val="left"/>
              <w:spacing w:line="400" w:lineRule="exact"/>
              <w:widowControl/>
              <w:rPr>
                <w:rFonts w:hint="eastAsia" w:ascii="宋体" w:hAnsi="宋体" w:cs="宋体"/>
              </w:rPr>
            </w:pPr>
            <w:r>
              <w:rPr>
                <w:rFonts w:hint="eastAsia" w:ascii="宋体" w:hAnsi="宋体" w:cs="宋体"/>
              </w:rPr>
              <w:t xml:space="preserve">6.内置蓝牙5.0/RFID，可实现蓝牙终端精确定位，提供官网截图或其他证明材料扫描件；</w:t>
            </w:r>
            <w:r/>
          </w:p>
          <w:p>
            <w:pPr>
              <w:jc w:val="left"/>
              <w:spacing w:line="400" w:lineRule="exact"/>
              <w:widowControl/>
              <w:rPr>
                <w:rFonts w:hint="eastAsia" w:ascii="宋体" w:hAnsi="宋体" w:cs="宋体"/>
              </w:rPr>
            </w:pPr>
            <w:r>
              <w:rPr>
                <w:rFonts w:hint="eastAsia" w:ascii="宋体" w:hAnsi="宋体" w:cs="宋体"/>
              </w:rPr>
              <w:t xml:space="preserve">7.发射功率≥20dBm，支持按1dB步长调整发射功率；</w:t>
            </w:r>
            <w:r/>
          </w:p>
          <w:p>
            <w:pPr>
              <w:jc w:val="left"/>
              <w:spacing w:line="400" w:lineRule="exact"/>
              <w:widowControl/>
              <w:rPr>
                <w:rFonts w:hint="eastAsia" w:ascii="宋体" w:hAnsi="宋体" w:cs="宋体"/>
              </w:rPr>
            </w:pPr>
            <w:r>
              <w:rPr>
                <w:rFonts w:hint="eastAsia" w:ascii="宋体" w:hAnsi="宋体" w:cs="宋体"/>
              </w:rPr>
              <w:t xml:space="preserve">▲8.功能特性：支持MAC认证、Portal认证、802.1X认证、WAPI认证、PSK认证模式 ，并可支持MAC + Portal混合认证；提供原厂白皮书或者产品画册或者（产品官网链接和截图）或者第三方检测机构出具的检测报告扫描件。</w:t>
            </w:r>
            <w:r/>
          </w:p>
          <w:p>
            <w:pPr>
              <w:jc w:val="left"/>
              <w:spacing w:line="400" w:lineRule="exact"/>
              <w:widowControl/>
              <w:rPr>
                <w:rFonts w:hint="eastAsia" w:ascii="宋体" w:hAnsi="宋体" w:cs="宋体"/>
              </w:rPr>
            </w:pPr>
            <w:r>
              <w:rPr>
                <w:rFonts w:hint="eastAsia" w:ascii="宋体" w:hAnsi="宋体" w:cs="宋体"/>
              </w:rPr>
              <w:t xml:space="preserve">9.供电：支持本地DC电源供电和PoE供电两种供电模式；</w:t>
            </w:r>
            <w:r/>
          </w:p>
          <w:p>
            <w:pPr>
              <w:jc w:val="left"/>
              <w:spacing w:line="400" w:lineRule="exact"/>
              <w:widowControl/>
              <w:rPr>
                <w:rFonts w:hint="eastAsia" w:ascii="宋体" w:hAnsi="宋体" w:cs="宋体"/>
              </w:rPr>
            </w:pPr>
            <w:r>
              <w:rPr>
                <w:rFonts w:hint="eastAsia" w:ascii="宋体" w:hAnsi="宋体" w:cs="宋体"/>
              </w:rPr>
              <w:t xml:space="preserve">10.为适应恶劣天气及超强工作时间下带来的故障风险，要求高密设备工作温度满足：≥[-10°C, 50°C], 提供官网截图或权威机构测试报告扫描件；</w:t>
            </w:r>
            <w:r/>
          </w:p>
          <w:p>
            <w:pPr>
              <w:jc w:val="left"/>
              <w:spacing w:line="400" w:lineRule="exact"/>
              <w:widowControl/>
              <w:rPr>
                <w:rFonts w:hint="eastAsia" w:ascii="宋体" w:hAnsi="宋体" w:cs="宋体"/>
              </w:rPr>
            </w:pPr>
            <w:r>
              <w:rPr>
                <w:rFonts w:hint="eastAsia" w:ascii="宋体" w:hAnsi="宋体" w:cs="宋体"/>
              </w:rPr>
              <w:t xml:space="preserve">11.支持AP本地转发（又称直接转发），提供官网截图或其他证明材料扫描件；</w:t>
            </w:r>
            <w:r/>
          </w:p>
          <w:p>
            <w:pPr>
              <w:jc w:val="left"/>
              <w:spacing w:line="400" w:lineRule="exact"/>
              <w:widowControl/>
              <w:rPr>
                <w:rFonts w:hint="eastAsia" w:eastAsia="宋体"/>
                <w:lang w:eastAsia="zh-CN"/>
              </w:rPr>
            </w:pPr>
            <w:r>
              <w:rPr>
                <w:rFonts w:hint="eastAsia" w:ascii="宋体" w:hAnsi="宋体" w:cs="宋体"/>
                <w:lang w:bidi="ar"/>
              </w:rPr>
              <w:t xml:space="preserve">★12.所投产品具有无线电发射设备型号核准证（SRRC认证），提供证书扫描件。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放装式高密无线AP</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宋体" w:hAnsi="宋体" w:cs="宋体"/>
                <w:lang w:bidi="ar"/>
              </w:rPr>
            </w:pPr>
            <w:r>
              <w:rPr>
                <w:rFonts w:hint="eastAsia" w:ascii="宋体" w:hAnsi="宋体" w:cs="宋体"/>
              </w:rPr>
              <w:t xml:space="preserve">★</w:t>
            </w:r>
            <w:r>
              <w:rPr>
                <w:rFonts w:hint="eastAsia" w:ascii="宋体" w:hAnsi="宋体" w:cs="宋体"/>
                <w:lang w:bidi="ar"/>
              </w:rPr>
              <w:t xml:space="preserve">1. 协议标准：同时支持802.11a/b/g/n/ac/ac wave2/ax协议标准，内置智能天线；</w:t>
            </w:r>
            <w:r>
              <w:rPr>
                <w:rFonts w:hint="eastAsia" w:ascii="宋体" w:hAnsi="宋体" w:cs="宋体"/>
              </w:rPr>
              <w:t xml:space="preserve">提供原厂白皮书或者产品画册或者（产品官网链接和截图）或者第三方检测机构出具的检测报告扫描件。</w:t>
            </w:r>
            <w:r/>
          </w:p>
          <w:p>
            <w:pPr>
              <w:jc w:val="left"/>
              <w:spacing w:line="400" w:lineRule="exact"/>
              <w:widowControl/>
              <w:rPr>
                <w:rFonts w:hint="eastAsia" w:ascii="宋体" w:hAnsi="宋体" w:cs="宋体"/>
                <w:lang w:bidi="ar"/>
              </w:rPr>
            </w:pPr>
            <w:r>
              <w:rPr>
                <w:rFonts w:hint="eastAsia" w:ascii="宋体" w:hAnsi="宋体" w:cs="宋体"/>
                <w:lang w:bidi="ar"/>
              </w:rPr>
              <w:t xml:space="preserve">2. 安装方式：支持壁挂、吸顶等多种安装方式；</w:t>
            </w:r>
            <w:r/>
          </w:p>
          <w:p>
            <w:pPr>
              <w:jc w:val="left"/>
              <w:spacing w:line="400" w:lineRule="exact"/>
              <w:widowControl/>
              <w:rPr>
                <w:rFonts w:hint="eastAsia" w:ascii="宋体" w:hAnsi="宋体" w:cs="宋体"/>
                <w:lang w:bidi="ar"/>
              </w:rPr>
            </w:pPr>
            <w:r>
              <w:rPr>
                <w:rFonts w:hint="eastAsia" w:ascii="宋体" w:hAnsi="宋体" w:cs="宋体"/>
                <w:lang w:bidi="ar"/>
              </w:rPr>
              <w:t xml:space="preserve">3. ▲</w:t>
            </w:r>
            <w:r>
              <w:rPr>
                <w:rFonts w:hint="eastAsia" w:ascii="宋体" w:hAnsi="宋体" w:cs="宋体"/>
              </w:rPr>
              <w:t xml:space="preserve">（1）</w:t>
            </w:r>
            <w:r>
              <w:rPr>
                <w:rFonts w:hint="eastAsia" w:ascii="宋体" w:hAnsi="宋体" w:cs="宋体"/>
                <w:lang w:bidi="ar"/>
              </w:rPr>
              <w:t xml:space="preserve">射频：所有射频都支持MU-MIMO，≥6空间流，三射频设计，包括1个2.4G射频，2个5G射频；</w:t>
            </w:r>
            <w:r>
              <w:rPr>
                <w:rFonts w:hint="eastAsia" w:ascii="宋体" w:hAnsi="宋体" w:cs="宋体"/>
              </w:rPr>
              <w:t xml:space="preserve">★</w:t>
            </w:r>
            <w:r>
              <w:rPr>
                <w:rFonts w:hint="eastAsia" w:ascii="宋体" w:hAnsi="宋体" w:cs="宋体"/>
                <w:lang w:bidi="ar"/>
              </w:rPr>
              <w:t xml:space="preserve">（2）工作时整机最大速率</w:t>
            </w:r>
            <w:r>
              <w:rPr>
                <w:rFonts w:hint="eastAsia" w:ascii="宋体" w:hAnsi="宋体" w:cs="宋体"/>
              </w:rPr>
              <w:t xml:space="preserve">≥6Gbps</w:t>
            </w:r>
            <w:r>
              <w:rPr>
                <w:rFonts w:hint="eastAsia" w:ascii="宋体" w:hAnsi="宋体" w:cs="宋体"/>
                <w:lang w:bidi="ar"/>
              </w:rPr>
              <w:t xml:space="preserve">；</w:t>
            </w:r>
            <w:r>
              <w:rPr>
                <w:rFonts w:hint="eastAsia" w:ascii="宋体" w:hAnsi="宋体" w:cs="宋体"/>
              </w:rPr>
              <w:t xml:space="preserve">提供原厂白皮书或者产品画册或者（产品官网链接和截图）或者第三方检测机构出具的检测报告扫描件。</w:t>
            </w:r>
            <w:r/>
          </w:p>
          <w:p>
            <w:pPr>
              <w:jc w:val="left"/>
              <w:spacing w:line="400" w:lineRule="exact"/>
              <w:widowControl/>
              <w:rPr>
                <w:rFonts w:hint="eastAsia" w:ascii="宋体" w:hAnsi="宋体" w:cs="宋体"/>
                <w:lang w:bidi="ar"/>
              </w:rPr>
            </w:pPr>
            <w:r>
              <w:rPr>
                <w:rFonts w:hint="eastAsia" w:ascii="宋体" w:hAnsi="宋体" w:cs="宋体"/>
              </w:rPr>
              <w:t xml:space="preserve">4</w:t>
            </w:r>
            <w:r>
              <w:rPr>
                <w:rFonts w:hint="eastAsia" w:ascii="宋体" w:hAnsi="宋体" w:cs="宋体"/>
                <w:lang w:bidi="ar"/>
              </w:rPr>
              <w:t xml:space="preserve">. 接口：≥1个GE上行接口，≥1个GE下行接口；</w:t>
            </w:r>
            <w:r/>
          </w:p>
          <w:p>
            <w:pPr>
              <w:jc w:val="left"/>
              <w:spacing w:line="400" w:lineRule="exact"/>
              <w:widowControl/>
              <w:rPr>
                <w:rFonts w:hint="eastAsia" w:ascii="宋体" w:hAnsi="宋体" w:cs="宋体"/>
                <w:lang w:bidi="ar"/>
              </w:rPr>
            </w:pPr>
            <w:r>
              <w:rPr>
                <w:rFonts w:hint="eastAsia" w:ascii="宋体" w:hAnsi="宋体" w:cs="宋体"/>
                <w:lang w:bidi="ar"/>
              </w:rPr>
              <w:t xml:space="preserve">5.天线：内置智能天线，可有效提升覆盖范围；</w:t>
            </w:r>
            <w:r/>
          </w:p>
          <w:p>
            <w:pPr>
              <w:jc w:val="left"/>
              <w:spacing w:line="400" w:lineRule="exact"/>
              <w:widowControl/>
              <w:rPr>
                <w:rFonts w:hint="eastAsia" w:ascii="宋体" w:hAnsi="宋体" w:cs="宋体"/>
                <w:lang w:bidi="ar"/>
              </w:rPr>
            </w:pPr>
            <w:r>
              <w:rPr>
                <w:rFonts w:hint="eastAsia" w:ascii="宋体" w:hAnsi="宋体" w:cs="宋体"/>
                <w:lang w:bidi="ar"/>
              </w:rPr>
              <w:t xml:space="preserve">6.内置蓝牙5.0/RFID，</w:t>
            </w:r>
            <w:r>
              <w:rPr>
                <w:rFonts w:hint="eastAsia" w:ascii="宋体" w:hAnsi="宋体" w:cs="宋体"/>
              </w:rPr>
              <w:t xml:space="preserve">可实现蓝牙终端精确定位，提供官网截图或其他证明材料扫描件</w:t>
            </w:r>
            <w:r>
              <w:rPr>
                <w:rFonts w:hint="eastAsia" w:ascii="宋体" w:hAnsi="宋体" w:cs="宋体"/>
                <w:lang w:bidi="ar"/>
              </w:rPr>
              <w:t xml:space="preserve">；</w:t>
            </w:r>
            <w:r/>
          </w:p>
          <w:p>
            <w:pPr>
              <w:jc w:val="left"/>
              <w:spacing w:line="400" w:lineRule="exact"/>
              <w:widowControl/>
              <w:rPr>
                <w:rFonts w:hint="eastAsia" w:ascii="宋体" w:hAnsi="宋体" w:cs="宋体"/>
                <w:lang w:bidi="ar"/>
              </w:rPr>
            </w:pPr>
            <w:r>
              <w:rPr>
                <w:rFonts w:hint="eastAsia" w:ascii="宋体" w:hAnsi="宋体" w:cs="宋体"/>
                <w:lang w:bidi="ar"/>
              </w:rPr>
              <w:t xml:space="preserve">7.发射功率≥20dBm，支持按1dB步长调整发射功率；</w:t>
            </w:r>
            <w:r/>
          </w:p>
          <w:p>
            <w:pPr>
              <w:jc w:val="left"/>
              <w:spacing w:line="400" w:lineRule="exact"/>
              <w:widowControl/>
              <w:rPr>
                <w:rFonts w:hint="eastAsia" w:ascii="宋体" w:hAnsi="宋体" w:cs="宋体"/>
                <w:lang w:bidi="ar"/>
              </w:rPr>
            </w:pPr>
            <w:r>
              <w:rPr>
                <w:rFonts w:hint="eastAsia" w:ascii="宋体" w:hAnsi="宋体" w:cs="宋体"/>
                <w:lang w:bidi="ar"/>
              </w:rPr>
              <w:t xml:space="preserve">▲8.功能特性：支持MAC认证、Portal认证、802.1X认证、WAPI认证、PSK认证模式 ，并可支持MAC + Portal混合认证；</w:t>
            </w:r>
            <w:r>
              <w:rPr>
                <w:rFonts w:hint="eastAsia" w:ascii="宋体" w:hAnsi="宋体" w:cs="宋体"/>
              </w:rPr>
              <w:t xml:space="preserve">提供原厂白皮书或者产品画册或者（产品官网链接和截图）或者第三方检测机构出具的检测报告扫描件。</w:t>
            </w:r>
            <w:r/>
          </w:p>
          <w:p>
            <w:pPr>
              <w:jc w:val="left"/>
              <w:spacing w:line="400" w:lineRule="exact"/>
              <w:widowControl/>
              <w:rPr>
                <w:rFonts w:hint="eastAsia" w:ascii="宋体" w:hAnsi="宋体" w:cs="宋体"/>
                <w:lang w:bidi="ar"/>
              </w:rPr>
            </w:pPr>
            <w:r>
              <w:rPr>
                <w:rFonts w:hint="eastAsia" w:ascii="宋体" w:hAnsi="宋体" w:cs="宋体"/>
                <w:lang w:bidi="ar"/>
              </w:rPr>
              <w:t xml:space="preserve">9.供电：支持本地DC电源供电和PoE供电两种供电模式；</w:t>
            </w:r>
            <w:r/>
          </w:p>
          <w:p>
            <w:pPr>
              <w:jc w:val="left"/>
              <w:spacing w:line="400" w:lineRule="exact"/>
              <w:widowControl/>
              <w:rPr>
                <w:rFonts w:hint="eastAsia" w:ascii="宋体" w:hAnsi="宋体" w:cs="宋体"/>
                <w:lang w:bidi="ar"/>
              </w:rPr>
            </w:pPr>
            <w:r>
              <w:rPr>
                <w:rFonts w:hint="eastAsia" w:ascii="宋体" w:hAnsi="宋体" w:cs="宋体"/>
                <w:lang w:bidi="ar"/>
              </w:rPr>
              <w:t xml:space="preserve">10.为适应恶劣天气及超强工作时间下带来的故障风险，要求高密设备工作温度满足：≥[-10°C, 50°C], 提供官网截图或权威机构测试报告扫描件；</w:t>
            </w:r>
            <w:r/>
          </w:p>
          <w:p>
            <w:pPr>
              <w:jc w:val="left"/>
              <w:spacing w:line="400" w:lineRule="exact"/>
              <w:widowControl/>
              <w:rPr>
                <w:rFonts w:hint="eastAsia" w:ascii="宋体" w:hAnsi="宋体" w:cs="宋体"/>
              </w:rPr>
            </w:pPr>
            <w:r>
              <w:rPr>
                <w:rFonts w:hint="eastAsia" w:ascii="宋体" w:hAnsi="宋体" w:cs="宋体"/>
              </w:rPr>
              <w:t xml:space="preserve">11.支持AP本地转发（又称直接转发），提供官网截图或其他证明材料扫描件；</w:t>
            </w:r>
            <w:r/>
          </w:p>
          <w:p>
            <w:pPr>
              <w:jc w:val="left"/>
              <w:spacing w:line="400" w:lineRule="exact"/>
              <w:widowControl/>
              <w:rPr>
                <w:rFonts w:hint="eastAsia" w:ascii="宋体" w:hAnsi="宋体" w:cs="宋体"/>
                <w:lang w:bidi="ar"/>
              </w:rPr>
            </w:pPr>
            <w:r>
              <w:rPr>
                <w:rFonts w:hint="eastAsia" w:ascii="宋体" w:hAnsi="宋体" w:cs="宋体"/>
                <w:lang w:bidi="ar"/>
              </w:rPr>
              <w:t xml:space="preserve">★12.所投产品具有无线电发射设备型号核准证（SRRC认证），提供证书扫描件。</w:t>
            </w:r>
            <w:r/>
          </w:p>
          <w:p>
            <w:pPr>
              <w:pStyle w:val="736"/>
              <w:ind w:firstLine="0"/>
              <w:rPr>
                <w:rFonts w:hint="eastAsia" w:eastAsia="宋体"/>
                <w:lang w:eastAsia="zh-CN"/>
              </w:rPr>
            </w:pPr>
            <w:r>
              <w:rPr>
                <w:rFonts w:hint="eastAsia" w:eastAsia="宋体"/>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室外无线AP</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宋体" w:hAnsi="宋体" w:eastAsia="宋体" w:cs="宋体"/>
                <w:lang w:eastAsia="zh-CN"/>
              </w:rPr>
            </w:pPr>
            <w:r>
              <w:rPr>
                <w:rFonts w:hint="eastAsia" w:ascii="宋体" w:hAnsi="宋体" w:cs="宋体"/>
                <w:lang w:bidi="ar"/>
              </w:rPr>
              <w:t xml:space="preserve">★1.协议标准：同时支持802.11a/b/g/n/ac/ac wave2/ax协议标准，内置定向天线；</w:t>
            </w:r>
            <w:r>
              <w:rPr>
                <w:rFonts w:hint="eastAsia" w:ascii="宋体" w:hAnsi="宋体" w:cs="宋体"/>
              </w:rPr>
              <w:t xml:space="preserve">提供原厂白皮书或者产品画册或者（产品官网链接和截图）或者第三方检测机构出具的检测报告扫描件。</w:t>
            </w:r>
            <w:r>
              <w:rPr>
                <w:rFonts w:hint="eastAsia" w:ascii="宋体" w:hAnsi="宋体" w:cs="宋体"/>
                <w:lang w:bidi="ar"/>
              </w:rPr>
              <w:br/>
            </w:r>
            <w:r>
              <w:rPr>
                <w:rFonts w:hint="eastAsia" w:ascii="宋体" w:hAnsi="宋体" w:cs="宋体"/>
                <w:lang w:bidi="ar"/>
              </w:rPr>
              <w:t xml:space="preserve">2. 安装方式：支持壁挂、吸顶等多种安装方式</w:t>
            </w:r>
            <w:r>
              <w:rPr>
                <w:rFonts w:hint="eastAsia" w:ascii="宋体" w:hAnsi="宋体" w:cs="宋体"/>
                <w:lang w:eastAsia="zh-CN" w:bidi="ar"/>
              </w:rPr>
              <w:t xml:space="preserve">。</w:t>
            </w:r>
            <w:r>
              <w:rPr>
                <w:rFonts w:hint="eastAsia" w:ascii="宋体" w:hAnsi="宋体" w:cs="宋体"/>
                <w:lang w:bidi="ar"/>
              </w:rPr>
              <w:br/>
            </w:r>
            <w:r>
              <w:rPr>
                <w:rFonts w:hint="eastAsia" w:ascii="宋体" w:hAnsi="宋体" w:cs="宋体"/>
                <w:lang w:bidi="ar"/>
              </w:rPr>
              <w:t xml:space="preserve">★3. 射频：所有射频都支持MU-MIMO，≥4空间流，整机最大速率≥1.775Gbps；</w:t>
            </w:r>
            <w:r>
              <w:rPr>
                <w:rFonts w:hint="eastAsia" w:ascii="宋体" w:hAnsi="宋体" w:cs="宋体"/>
              </w:rPr>
              <w:t xml:space="preserve">提供原厂白皮书或者产品画册或者（产品官网链接和截图）或者第三方检测机构出具的检测报告扫描件。</w:t>
            </w:r>
            <w:r>
              <w:rPr>
                <w:rFonts w:hint="eastAsia" w:ascii="宋体" w:hAnsi="宋体" w:cs="宋体"/>
                <w:lang w:bidi="ar"/>
              </w:rPr>
              <w:br/>
            </w:r>
            <w:r>
              <w:rPr>
                <w:rFonts w:hint="eastAsia" w:ascii="宋体" w:hAnsi="宋体" w:cs="宋体"/>
                <w:lang w:bidi="ar"/>
              </w:rPr>
              <w:t xml:space="preserve">4. 接口：1个GE电接口，1个SFP光接口</w:t>
            </w:r>
            <w:r>
              <w:rPr>
                <w:rFonts w:hint="eastAsia" w:ascii="宋体" w:hAnsi="宋体" w:cs="宋体"/>
                <w:lang w:eastAsia="zh-CN" w:bidi="ar"/>
              </w:rPr>
              <w:t xml:space="preserve">。</w:t>
            </w:r>
            <w:r>
              <w:rPr>
                <w:rFonts w:hint="eastAsia" w:ascii="宋体" w:hAnsi="宋体" w:cs="宋体"/>
                <w:lang w:bidi="ar"/>
              </w:rPr>
              <w:br/>
            </w:r>
            <w:r>
              <w:rPr>
                <w:rFonts w:hint="eastAsia" w:ascii="宋体" w:hAnsi="宋体" w:cs="宋体"/>
                <w:lang w:bidi="ar"/>
              </w:rPr>
              <w:t xml:space="preserve">5.天线：内置定向天线，可有效提升覆盖范围</w:t>
            </w:r>
            <w:r>
              <w:rPr>
                <w:rFonts w:hint="eastAsia" w:ascii="宋体" w:hAnsi="宋体" w:cs="宋体"/>
                <w:lang w:eastAsia="zh-CN" w:bidi="ar"/>
              </w:rPr>
              <w:t xml:space="preserve">。</w:t>
            </w:r>
            <w:r>
              <w:rPr>
                <w:rFonts w:hint="eastAsia" w:ascii="宋体" w:hAnsi="宋体" w:cs="宋体"/>
                <w:lang w:bidi="ar"/>
              </w:rPr>
              <w:br/>
            </w:r>
            <w:r>
              <w:rPr>
                <w:rFonts w:hint="eastAsia" w:ascii="宋体" w:hAnsi="宋体" w:cs="宋体"/>
                <w:lang w:bidi="ar"/>
              </w:rPr>
              <w:t xml:space="preserve">6.内置功能模块,可实现免接线串口运维</w:t>
            </w:r>
            <w:r>
              <w:rPr>
                <w:rFonts w:hint="eastAsia" w:ascii="宋体" w:hAnsi="宋体" w:cs="宋体"/>
                <w:lang w:eastAsia="zh-CN" w:bidi="ar"/>
              </w:rPr>
              <w:t xml:space="preserve">。</w:t>
            </w:r>
            <w:r>
              <w:rPr>
                <w:rFonts w:hint="eastAsia" w:ascii="宋体" w:hAnsi="宋体" w:cs="宋体"/>
                <w:lang w:bidi="ar"/>
              </w:rPr>
              <w:br/>
            </w:r>
            <w:r>
              <w:rPr>
                <w:rFonts w:hint="eastAsia" w:ascii="宋体" w:hAnsi="宋体" w:cs="宋体"/>
                <w:lang w:bidi="ar"/>
              </w:rPr>
              <w:t xml:space="preserve">7.发射功率≥20dBm，支持按1dB步长调整发射功率</w:t>
            </w:r>
            <w:r>
              <w:rPr>
                <w:rFonts w:hint="eastAsia" w:ascii="宋体" w:hAnsi="宋体" w:cs="宋体"/>
                <w:lang w:eastAsia="zh-CN" w:bidi="ar"/>
              </w:rPr>
              <w:t xml:space="preserve">。</w:t>
            </w:r>
            <w:r>
              <w:rPr>
                <w:rFonts w:hint="eastAsia" w:ascii="宋体" w:hAnsi="宋体" w:cs="宋体"/>
                <w:lang w:bidi="ar"/>
              </w:rPr>
              <w:br/>
            </w:r>
            <w:r>
              <w:rPr>
                <w:rFonts w:hint="eastAsia" w:ascii="宋体" w:hAnsi="宋体" w:cs="宋体"/>
                <w:lang w:bidi="ar"/>
              </w:rPr>
              <w:t xml:space="preserve">8.支持MAC认证、Portal认证、802.1X认证、WAPI认证、PSK认证模式 ，并可支持MAC + Portal混合认证</w:t>
            </w:r>
            <w:r>
              <w:rPr>
                <w:rFonts w:hint="eastAsia" w:ascii="宋体" w:hAnsi="宋体" w:cs="宋体"/>
                <w:lang w:eastAsia="zh-CN" w:bidi="ar"/>
              </w:rPr>
              <w:t xml:space="preserve">。</w:t>
            </w:r>
            <w:r>
              <w:rPr>
                <w:rFonts w:hint="eastAsia" w:ascii="宋体" w:hAnsi="宋体" w:cs="宋体"/>
                <w:lang w:bidi="ar"/>
              </w:rPr>
              <w:br/>
            </w:r>
            <w:r>
              <w:rPr>
                <w:rFonts w:hint="eastAsia" w:ascii="宋体" w:hAnsi="宋体" w:cs="宋体"/>
                <w:lang w:bidi="ar"/>
              </w:rPr>
              <w:t xml:space="preserve">9.供电：支持本地DC电源供电和PoE供电两种供电模式</w:t>
            </w:r>
            <w:r>
              <w:rPr>
                <w:rFonts w:hint="eastAsia" w:ascii="宋体" w:hAnsi="宋体" w:cs="宋体"/>
                <w:lang w:eastAsia="zh-CN" w:bidi="ar"/>
              </w:rPr>
              <w:t xml:space="preserve">。</w:t>
            </w:r>
            <w:r>
              <w:rPr>
                <w:rFonts w:hint="eastAsia" w:ascii="宋体" w:hAnsi="宋体" w:cs="宋体"/>
                <w:lang w:bidi="ar"/>
              </w:rPr>
              <w:br/>
            </w:r>
            <w:r>
              <w:rPr>
                <w:rFonts w:hint="eastAsia" w:ascii="宋体" w:hAnsi="宋体" w:cs="宋体"/>
                <w:lang w:bidi="ar"/>
              </w:rPr>
              <w:t xml:space="preserve">10.为适应恶劣天气及超强工作时间下带来的故障风险，要求高密设备工作温度满足：≥[-40℃～+65℃], 支持IP68防水防尘和防雷电能力</w:t>
            </w:r>
            <w:r>
              <w:rPr>
                <w:rFonts w:hint="eastAsia" w:ascii="宋体" w:hAnsi="宋体" w:cs="宋体"/>
                <w:lang w:eastAsia="zh-CN" w:bidi="ar"/>
              </w:rPr>
              <w:t xml:space="preserve">。</w:t>
            </w:r>
            <w:r>
              <w:rPr>
                <w:rFonts w:hint="eastAsia" w:ascii="宋体" w:hAnsi="宋体" w:cs="宋体"/>
                <w:lang w:bidi="ar"/>
              </w:rPr>
              <w:br/>
            </w:r>
            <w:r>
              <w:rPr>
                <w:rFonts w:hint="eastAsia" w:ascii="宋体" w:hAnsi="宋体" w:cs="宋体"/>
              </w:rPr>
              <w:t xml:space="preserve">11.支持AP本地转发（又称直接转发），提供官网截图或其他证明材料扫描件</w:t>
            </w:r>
            <w:r>
              <w:rPr>
                <w:rFonts w:hint="eastAsia" w:ascii="宋体" w:hAnsi="宋体" w:cs="宋体"/>
                <w:lang w:eastAsia="zh-CN"/>
              </w:rPr>
              <w:t xml:space="preserve">。</w:t>
            </w:r>
            <w:r/>
          </w:p>
          <w:p>
            <w:pPr>
              <w:jc w:val="left"/>
              <w:spacing w:line="400" w:lineRule="exact"/>
              <w:widowControl/>
              <w:rPr>
                <w:rFonts w:hint="eastAsia" w:eastAsia="宋体"/>
                <w:lang w:eastAsia="zh-CN"/>
              </w:rPr>
            </w:pPr>
            <w:r>
              <w:rPr>
                <w:rFonts w:hint="eastAsia" w:ascii="宋体" w:hAnsi="宋体" w:cs="宋体"/>
                <w:lang w:bidi="ar"/>
              </w:rPr>
              <w:t xml:space="preserve">★12.所投产品具有无线电发射设备型号核准证（SRRC认证），提供证书扫描件。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接入设备</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left"/>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8口光接入设备</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0"/>
                <w:numId w:val="10"/>
              </w:numPr>
              <w:jc w:val="left"/>
              <w:spacing w:line="400" w:lineRule="exact"/>
              <w:widowControl/>
              <w:rPr>
                <w:rFonts w:hint="eastAsia" w:eastAsia="宋体"/>
                <w:lang w:eastAsia="zh-CN"/>
              </w:rPr>
            </w:pPr>
            <w:r>
              <w:rPr>
                <w:rFonts w:hint="eastAsia" w:asciiTheme="minorEastAsia" w:hAnsiTheme="minorEastAsia" w:eastAsiaTheme="minorEastAsia" w:cstheme="minorEastAsia"/>
                <w:color w:val="000000"/>
                <w:lang w:bidi="ar"/>
              </w:rPr>
              <w:t xml:space="preserve">小型入室接入设备，上行链路为光纤，10G光网络接口≥2，上下行10G对称，下行GE电接口≥8，支持10/100/1000M接口速率自适应；</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2.工作温度：0℃~45℃；</w:t>
            </w:r>
            <w:r>
              <w:rPr>
                <w:rFonts w:hint="eastAsia" w:asciiTheme="minorEastAsia" w:hAnsiTheme="minorEastAsia" w:eastAsiaTheme="minorEastAsia" w:cstheme="minorEastAsia"/>
                <w:color w:val="000000"/>
                <w:lang w:val="en-US" w:eastAsia="zh-CN" w:bidi="ar"/>
              </w:rPr>
              <w:t xml:space="preserve">  </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3.QOS：支持端口流量识别、端口流量限速；</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4.维护：支持即插即用，光模块/光链路告警。</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24口光接入设备</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0"/>
                <w:numId w:val="11"/>
              </w:numPr>
              <w:jc w:val="left"/>
              <w:spacing w:line="400" w:lineRule="exact"/>
              <w:widowControl/>
              <w:rPr>
                <w:rFonts w:hint="eastAsia" w:eastAsia="宋体"/>
                <w:lang w:eastAsia="zh-CN"/>
              </w:rPr>
            </w:pPr>
            <w:r>
              <w:rPr>
                <w:rFonts w:hint="eastAsia" w:asciiTheme="minorEastAsia" w:hAnsiTheme="minorEastAsia" w:eastAsiaTheme="minorEastAsia" w:cstheme="minorEastAsia"/>
                <w:color w:val="000000"/>
                <w:lang w:bidi="ar"/>
              </w:rPr>
              <w:t xml:space="preserve">上行链路为光纤，10G光网络接口≥2，上下行10G对称，下行GE电接口≥24，支持10/100/1000M接口速率自适应；</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2.工作温度：0℃~45℃；</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3.QOS：支持端口流量识别、端口流量限速</w:t>
            </w:r>
            <w:r>
              <w:rPr>
                <w:rFonts w:hint="eastAsia" w:asciiTheme="minorEastAsia" w:hAnsiTheme="minorEastAsia" w:eastAsiaTheme="minorEastAsia" w:cstheme="minorEastAsia"/>
                <w:color w:val="000000"/>
                <w:lang w:eastAsia="zh-CN" w:bidi="ar"/>
              </w:rPr>
              <w:t xml:space="preserve">。</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4.维护：支持即插即用，光模块/光链路告警。</w:t>
            </w:r>
            <w:r/>
          </w:p>
        </w:tc>
      </w:tr>
      <w:tr>
        <w:trPr>
          <w:jc w:val="center"/>
        </w:trPr>
        <w:tc>
          <w:tcPr>
            <w:tcBorders>
              <w:top w:val="single" w:color="000000" w:sz="4" w:space="0"/>
              <w:left w:val="single" w:color="000000" w:sz="4" w:space="0"/>
              <w:bottom w:val="non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3</w:t>
            </w:r>
            <w:r/>
          </w:p>
        </w:tc>
        <w:tc>
          <w:tcPr>
            <w:tcBorders>
              <w:top w:val="single" w:color="000000" w:sz="4" w:space="0"/>
              <w:left w:val="single" w:color="000000" w:sz="4" w:space="0"/>
              <w:bottom w:val="non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教室24口光接入设备</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0"/>
                <w:numId w:val="12"/>
              </w:numPr>
              <w:jc w:val="left"/>
              <w:spacing w:line="400" w:lineRule="exact"/>
              <w:widowControl/>
              <w:rPr>
                <w:rFonts w:hint="eastAsia" w:eastAsia="宋体"/>
                <w:lang w:eastAsia="zh-CN"/>
              </w:rPr>
            </w:pPr>
            <w:r>
              <w:rPr>
                <w:rFonts w:hint="eastAsia" w:asciiTheme="minorEastAsia" w:hAnsiTheme="minorEastAsia" w:eastAsiaTheme="minorEastAsia" w:cstheme="minorEastAsia"/>
                <w:color w:val="000000"/>
                <w:lang w:bidi="ar"/>
              </w:rPr>
              <w:t xml:space="preserve">上行链路为光纤，10G光网络接口≥2，上下行10G对称，下行GE电接口≥24，支持10/100/1000M接口速率自适应；</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2.工作温度：0℃~45℃；</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3.QOS：支持端口流量识别、端口流量限速；</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4.维护：支持即插即用，光模块/光链路告警。</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24口POE接入设备</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0"/>
                <w:numId w:val="13"/>
              </w:numPr>
              <w:jc w:val="left"/>
              <w:spacing w:line="400" w:lineRule="exact"/>
              <w:widowControl/>
              <w:rPr>
                <w:rFonts w:hint="eastAsia" w:eastAsia="宋体"/>
                <w:lang w:eastAsia="zh-CN"/>
              </w:rPr>
            </w:pPr>
            <w:r>
              <w:rPr>
                <w:rFonts w:hint="eastAsia" w:asciiTheme="minorEastAsia" w:hAnsiTheme="minorEastAsia" w:eastAsiaTheme="minorEastAsia" w:cstheme="minorEastAsia"/>
                <w:color w:val="000000"/>
                <w:lang w:bidi="ar"/>
              </w:rPr>
              <w:t xml:space="preserve">上行链路为光纤，10G光网络接口≥2，上下行10G对称，下行GE电接口≥24，支持10/100/1000M接口速率自适应，均支持POE、PoE+功能；</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highlight w:val="none"/>
                <w:lang w:bidi="ar"/>
              </w:rPr>
              <w:t xml:space="preserve">2.系统最大支持POE输出功率≥370W，每个端口最大支持POE输出功率≥30W；</w:t>
            </w:r>
            <w:r>
              <w:rPr>
                <w:rFonts w:hint="eastAsia" w:ascii="宋体" w:hAnsi="宋体" w:cs="宋体"/>
                <w:color w:val="auto"/>
                <w:highlight w:val="none"/>
              </w:rPr>
              <w:t xml:space="preserve">（提供官网截图或者产品彩页，材料需并加盖投标人公章）</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3.工作温度：0℃~45℃；</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4.QOS：支持端口流量识别、端口流量限速；</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5.维护：支持即插即用，光模块/光链路告警。</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jc w:val="left"/>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光传输</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highlight w:val="yellow"/>
              </w:rPr>
            </w:pPr>
            <w:r>
              <w:rPr>
                <w:rFonts w:hint="eastAsia" w:asciiTheme="minorEastAsia" w:hAnsiTheme="minorEastAsia" w:eastAsiaTheme="minorEastAsia" w:cstheme="minorEastAsia"/>
                <w:color w:val="000000"/>
                <w:highlight w:val="yellow"/>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auto"/>
                <w:highlight w:val="yellow"/>
                <w:lang w:eastAsia="zh-CN"/>
              </w:rPr>
            </w:pPr>
            <w:r>
              <w:rPr>
                <w:rFonts w:hint="eastAsia" w:asciiTheme="minorEastAsia" w:hAnsiTheme="minorEastAsia" w:eastAsiaTheme="minorEastAsia" w:cstheme="minorEastAsia"/>
                <w:color w:val="auto"/>
                <w:highlight w:val="yellow"/>
                <w:lang w:bidi="ar"/>
              </w:rPr>
              <w:t xml:space="preserve">光模块</w:t>
            </w:r>
            <w:r>
              <w:rPr>
                <w:rFonts w:hint="eastAsia" w:asciiTheme="minorEastAsia" w:hAnsiTheme="minorEastAsia" w:eastAsiaTheme="minorEastAsia" w:cstheme="minorEastAsia"/>
                <w:color w:val="auto"/>
                <w:highlight w:val="yellow"/>
                <w:lang w:eastAsia="zh-CN" w:bidi="ar"/>
              </w:rPr>
              <w:t xml:space="preserve">（</w:t>
            </w:r>
            <w:r>
              <w:rPr>
                <w:rFonts w:hint="eastAsia" w:asciiTheme="minorEastAsia" w:hAnsiTheme="minorEastAsia" w:eastAsiaTheme="minorEastAsia" w:cstheme="minorEastAsia"/>
                <w:color w:val="auto"/>
                <w:highlight w:val="yellow"/>
                <w:lang w:val="en-US" w:eastAsia="zh-CN" w:bidi="ar"/>
              </w:rPr>
              <w:t xml:space="preserve">万兆</w:t>
            </w:r>
            <w:r>
              <w:rPr>
                <w:rFonts w:hint="eastAsia" w:asciiTheme="minorEastAsia" w:hAnsiTheme="minorEastAsia" w:eastAsiaTheme="minorEastAsia" w:cstheme="minorEastAsia"/>
                <w:color w:val="auto"/>
                <w:highlight w:val="yellow"/>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eastAsia="宋体"/>
                <w:color w:val="auto"/>
                <w:highlight w:val="yellow"/>
                <w:lang w:eastAsia="zh-CN"/>
              </w:rPr>
            </w:pPr>
            <w:r>
              <w:rPr>
                <w:rFonts w:hint="eastAsia" w:asciiTheme="minorEastAsia" w:hAnsiTheme="minorEastAsia" w:eastAsiaTheme="minorEastAsia" w:cstheme="minorEastAsia"/>
                <w:color w:val="auto"/>
                <w:sz w:val="21"/>
                <w:szCs w:val="21"/>
                <w:highlight w:val="yellow"/>
              </w:rPr>
              <w:t xml:space="preserve">★光收发一体模块SFP+ 万兆模块(1271-1571nm、</w:t>
            </w:r>
            <w:r>
              <w:rPr>
                <w:rFonts w:hint="eastAsia" w:asciiTheme="minorEastAsia" w:hAnsiTheme="minorEastAsia" w:eastAsiaTheme="minorEastAsia" w:cstheme="minorEastAsia"/>
                <w:color w:val="auto"/>
                <w:highlight w:val="yellow"/>
                <w:lang w:bidi="ar"/>
              </w:rPr>
              <w:t xml:space="preserve">≥</w:t>
            </w:r>
            <w:r>
              <w:rPr>
                <w:rFonts w:hint="eastAsia" w:asciiTheme="minorEastAsia" w:hAnsiTheme="minorEastAsia" w:eastAsiaTheme="minorEastAsia" w:cstheme="minorEastAsia"/>
                <w:color w:val="auto"/>
                <w:highlight w:val="yellow"/>
                <w:lang w:val="en-US" w:eastAsia="zh-CN" w:bidi="ar"/>
              </w:rPr>
              <w:t xml:space="preserve">8</w:t>
            </w:r>
            <w:r>
              <w:rPr>
                <w:rFonts w:hint="eastAsia" w:asciiTheme="minorEastAsia" w:hAnsiTheme="minorEastAsia" w:eastAsiaTheme="minorEastAsia" w:cstheme="minorEastAsia"/>
                <w:color w:val="auto"/>
                <w:sz w:val="21"/>
                <w:szCs w:val="21"/>
                <w:highlight w:val="yellow"/>
              </w:rPr>
              <w:t xml:space="preserve">km、LC,或1260-1620nm、</w:t>
            </w:r>
            <w:r>
              <w:rPr>
                <w:rFonts w:hint="eastAsia" w:asciiTheme="minorEastAsia" w:hAnsiTheme="minorEastAsia" w:eastAsiaTheme="minorEastAsia" w:cstheme="minorEastAsia"/>
                <w:color w:val="auto"/>
                <w:highlight w:val="yellow"/>
                <w:lang w:bidi="ar"/>
              </w:rPr>
              <w:t xml:space="preserve">≥</w:t>
            </w:r>
            <w:r>
              <w:rPr>
                <w:rFonts w:hint="eastAsia" w:asciiTheme="minorEastAsia" w:hAnsiTheme="minorEastAsia" w:eastAsiaTheme="minorEastAsia" w:cstheme="minorEastAsia"/>
                <w:color w:val="auto"/>
                <w:highlight w:val="yellow"/>
                <w:lang w:val="en-US" w:eastAsia="zh-CN" w:bidi="ar"/>
              </w:rPr>
              <w:t xml:space="preserve">8</w:t>
            </w:r>
            <w:r>
              <w:rPr>
                <w:rFonts w:hint="eastAsia" w:asciiTheme="minorEastAsia" w:hAnsiTheme="minorEastAsia" w:eastAsiaTheme="minorEastAsia" w:cstheme="minorEastAsia"/>
                <w:color w:val="auto"/>
                <w:sz w:val="21"/>
                <w:szCs w:val="21"/>
                <w:highlight w:val="yellow"/>
              </w:rPr>
              <w:t xml:space="preserve">km、LC,或1271-1431nm、</w:t>
            </w:r>
            <w:r>
              <w:rPr>
                <w:rFonts w:hint="eastAsia" w:asciiTheme="minorEastAsia" w:hAnsiTheme="minorEastAsia" w:eastAsiaTheme="minorEastAsia" w:cstheme="minorEastAsia"/>
                <w:color w:val="auto"/>
                <w:highlight w:val="yellow"/>
                <w:lang w:bidi="ar"/>
              </w:rPr>
              <w:t xml:space="preserve">≥</w:t>
            </w:r>
            <w:r>
              <w:rPr>
                <w:rFonts w:hint="eastAsia" w:asciiTheme="minorEastAsia" w:hAnsiTheme="minorEastAsia" w:eastAsiaTheme="minorEastAsia" w:cstheme="minorEastAsia"/>
                <w:color w:val="auto"/>
                <w:highlight w:val="yellow"/>
                <w:lang w:val="en-US" w:eastAsia="zh-CN" w:bidi="ar"/>
              </w:rPr>
              <w:t xml:space="preserve">8</w:t>
            </w:r>
            <w:r>
              <w:rPr>
                <w:rFonts w:hint="eastAsia" w:asciiTheme="minorEastAsia" w:hAnsiTheme="minorEastAsia" w:eastAsiaTheme="minorEastAsia" w:cstheme="minorEastAsia"/>
                <w:color w:val="auto"/>
                <w:sz w:val="21"/>
                <w:szCs w:val="21"/>
                <w:highlight w:val="yellow"/>
              </w:rPr>
              <w:t xml:space="preserve">km、LC)，满足本项目组网要求。光模块序列号官网或者400或邮件方式可查,提供官网查询截图（含链接地址）或400电话号码或邮件地址。</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光纤跳线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spacing w:line="400" w:lineRule="exact"/>
              <w:widowControl/>
              <w:rPr>
                <w:rFonts w:hint="eastAsia" w:ascii="宋体" w:hAnsi="宋体" w:cs="宋体"/>
              </w:rPr>
            </w:pPr>
            <w:r>
              <w:rPr>
                <w:rFonts w:hint="eastAsia" w:ascii="宋体" w:hAnsi="宋体" w:cs="宋体"/>
                <w:lang w:bidi="ar"/>
              </w:rPr>
              <w:t xml:space="preserve">▲</w:t>
            </w:r>
            <w:r>
              <w:rPr>
                <w:rFonts w:hint="eastAsia" w:ascii="宋体" w:hAnsi="宋体" w:cs="宋体"/>
              </w:rPr>
              <w:t xml:space="preserve">1.G.652D单模光纤，双芯，LSZH护套，</w:t>
            </w:r>
            <w:r>
              <w:rPr>
                <w:rFonts w:hint="eastAsia" w:ascii="宋体" w:hAnsi="宋体" w:cs="宋体"/>
                <w:lang w:bidi="ar"/>
              </w:rPr>
              <w:t xml:space="preserve">光缆的</w:t>
            </w:r>
            <w:r>
              <w:rPr>
                <w:rFonts w:hint="eastAsia" w:ascii="宋体" w:hAnsi="宋体" w:cs="宋体"/>
              </w:rPr>
              <w:t xml:space="preserve">光学性能、几何性能、机械性能、环境性能、安全性能等符合YD/T 1272.4-2020、YD/T 2152-2010、GB/T 9771-2020等现行国家或行业标准。</w:t>
            </w:r>
            <w:r>
              <w:rPr>
                <w:rFonts w:hint="eastAsia" w:ascii="宋体" w:hAnsi="宋体" w:cs="宋体"/>
                <w:b/>
                <w:bCs/>
              </w:rPr>
              <w:t xml:space="preserve">提供</w:t>
            </w:r>
            <w:r>
              <w:rPr>
                <w:rFonts w:hint="eastAsia" w:ascii="宋体" w:hAnsi="宋体" w:cs="宋体"/>
                <w:b/>
                <w:bCs/>
                <w:lang w:bidi="ar"/>
              </w:rPr>
              <w:t xml:space="preserve">符合现行国家或行业标准、由第三方检测机构出具的有CMA标志的检测报告。</w:t>
            </w:r>
            <w:r/>
          </w:p>
          <w:p>
            <w:pPr>
              <w:jc w:val="left"/>
              <w:spacing w:line="400" w:lineRule="exact"/>
              <w:rPr>
                <w:rFonts w:hint="eastAsia" w:ascii="宋体" w:hAnsi="宋体" w:cs="宋体"/>
              </w:rPr>
            </w:pPr>
            <w:r>
              <w:rPr>
                <w:rFonts w:hint="eastAsia" w:ascii="宋体" w:hAnsi="宋体" w:cs="宋体"/>
              </w:rPr>
              <w:t xml:space="preserve">2.长度规格≥3米。</w:t>
            </w:r>
            <w:r/>
          </w:p>
          <w:p>
            <w:pPr>
              <w:jc w:val="left"/>
              <w:spacing w:line="400" w:lineRule="exact"/>
              <w:widowControl/>
              <w:rPr>
                <w:rFonts w:hint="eastAsia" w:asciiTheme="minorEastAsia" w:hAnsiTheme="minorEastAsia" w:eastAsiaTheme="minorEastAsia" w:cstheme="minorEastAsia"/>
                <w:color w:val="000000"/>
              </w:rPr>
            </w:pPr>
            <w:r>
              <w:rPr>
                <w:rFonts w:hint="eastAsia" w:ascii="宋体" w:hAnsi="宋体" w:cs="宋体"/>
              </w:rPr>
              <w:t xml:space="preserve">3. 技术规范：回拨损耗：单模＞50dB ； 插入损耗：最大值0.5dB，典型值0.2dB；套管外径：1.25mm；线缆直径：护套光纤：0.9mm，抗拉强度：护套光纤5N，单芯线缆100N，双芯线缆100N；工作温度：-40℃～75℃；使用寿命卡接次数≥1000次。</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二</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酒店网</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left"/>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酒店网核心</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left"/>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ff0000"/>
              </w:rPr>
            </w:pPr>
            <w:r>
              <w:rPr>
                <w:rFonts w:hint="eastAsia" w:asciiTheme="minorEastAsia" w:hAnsiTheme="minorEastAsia" w:eastAsiaTheme="minorEastAsia" w:cstheme="minorEastAsia"/>
                <w:color w:val="auto"/>
                <w:lang w:bidi="ar"/>
              </w:rPr>
              <w:t xml:space="preserve">酒店网核心交换机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36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一、性能与扩展能力</w:t>
            </w:r>
            <w:r>
              <w:rPr>
                <w:rFonts w:hint="eastAsia" w:asciiTheme="minorEastAsia" w:hAnsiTheme="minorEastAsia" w:eastAsiaTheme="minorEastAsia" w:cstheme="minorEastAsia"/>
                <w:b/>
                <w:bCs/>
              </w:rPr>
              <w:t xml:space="preserve">（第1-4参数应</w:t>
            </w:r>
            <w:r>
              <w:rPr>
                <w:rFonts w:hint="eastAsia" w:ascii="宋体" w:hAnsi="宋体" w:cs="宋体"/>
                <w:b/>
                <w:bCs/>
                <w:lang w:bidi="ar"/>
              </w:rPr>
              <w:t xml:space="preserve">提供原厂公开技术文档（白皮书、彩页、官网规格页截图及链接地址均可）</w:t>
            </w:r>
            <w:r>
              <w:rPr>
                <w:rFonts w:hint="eastAsia" w:asciiTheme="minorEastAsia" w:hAnsiTheme="minorEastAsia" w:eastAsiaTheme="minorEastAsia" w:cstheme="minorEastAsia"/>
                <w:b/>
                <w:bCs/>
              </w:rPr>
              <w:t xml:space="preserve">）</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 整机性能：交换容量（双向） ≥ 29 Tbps；包转发率 ≥ 9200 Mpps。</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 主控引擎冗余，支持双交流电源模块（实配）。</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 端口扩展能力：单业务槽位应支持混合端口类型（千兆电口、千兆光口、万兆光口）；单槽最大可用端口密度 ≥ 48个。</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 实配端口要求（本次供货）：每台设备须实配：千兆以太网光口（SFP） ≥48个；千兆以太网电口≥ 48个；万兆以太网光口（SFP+） ≥ 48个。</w:t>
            </w:r>
            <w:r>
              <w:rPr>
                <w:rFonts w:hint="eastAsia" w:asciiTheme="minorEastAsia" w:hAnsiTheme="minorEastAsia" w:eastAsiaTheme="minorEastAsia" w:cstheme="minorEastAsia"/>
                <w:sz w:val="21"/>
                <w:szCs w:val="21"/>
                <w:lang w:bidi="ar"/>
              </w:rPr>
              <w:t xml:space="preserve">要求实配横向虚拟化功能，每台配置万兆虚拟化线缆不低于1根。</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二、高可用与可靠性</w:t>
            </w:r>
            <w:r>
              <w:rPr>
                <w:rFonts w:hint="eastAsia" w:asciiTheme="minorEastAsia" w:hAnsiTheme="minorEastAsia" w:eastAsiaTheme="minorEastAsia" w:cstheme="minorEastAsia"/>
                <w:b/>
                <w:bCs/>
                <w:sz w:val="21"/>
                <w:szCs w:val="21"/>
              </w:rPr>
              <w:t xml:space="preserve">（第5-9条参数应提供原厂公开技术文档（白皮书、彩页、官网规格页截图及链接地址均可））</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5.系统可靠性：支持芯片级与系统级Flash双启动机制，避免因单点存储故障导致设备无法启动；支持GR（Graceful Restart）、NSR（Non-Stop Routing）等控制平面高可用技术。</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6.CPU保护：支持专门针对CPU保护机制的功能，可将送CPU的报文，如ARP报文的速率进行限制，使CPU的使用率降低到10%以内，保障CPU安全。</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7.自动化上线：支持多种网管平台发现方式，包括：二层广播自动发现；三层静态IP发现；DHCP Option 43；DNS域名解析发现。</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8.可视化运维：支持设备面板级状态可视化，包括：电源、风扇、板卡运行状态，异常告警直观呈现（可通过Web/CLI/控制器查看）。</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9.支持基础安全保护策略，可实现ARP等各种攻击的自动防御，保护系统各种服务的正常运行。</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三、网络协议与数据中心特性</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10.路由协议：支持静态路由、RIPv1/v2、OSPFv2/v3、IS-IS（含v6）、BGP4/BGP4+，支持策略路由、VRRP、路由聚合。</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11.IPv6能力：支持IPv4/IPv6双栈；支持IPv6 DHCP Server/Relay/Snooping；支持IPv6过渡技术（如6to4、ISATAP、DS-Lite、4over6等）；支持IPv6 SAVI（源地址验证），防止ND欺骗与地址仿冒。</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12.支持VXLAN二层/三层分布式网关；支持EVPN作为VXLAN控制平面。</w:t>
            </w:r>
            <w:r/>
          </w:p>
          <w:p>
            <w:pPr>
              <w:pStyle w:val="736"/>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四、合规与强制认证</w:t>
            </w:r>
            <w:r/>
          </w:p>
          <w:p>
            <w:pPr>
              <w:pStyle w:val="736"/>
              <w:ind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 电信设备进网许可（CTA）：所投产品必须具备工业和信息化部核发的有效《电信设备进网许可证》。投标时须提供：进网许可证清晰扫描件；工信部官网查询结果截图，显示设备型号、生产企业、许可证编号及状态为“有效”。</w:t>
            </w:r>
            <w:r/>
          </w:p>
          <w:p>
            <w:pPr>
              <w:pStyle w:val="736"/>
              <w:ind w:firstLine="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酒店网汇聚</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left"/>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48光口汇聚交换机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Theme="minorEastAsia" w:hAnsiTheme="minorEastAsia" w:eastAsiaTheme="minorEastAsia" w:cstheme="minorEastAsia"/>
                <w:color w:val="auto"/>
                <w:lang w:bidi="ar"/>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1.支持千兆SFP光口≥48个，1G/10G SFP+光口≥4个；交换容量≥670Gbps，包转发率≥200Mpps；</w:t>
            </w:r>
            <w:r>
              <w:rPr>
                <w:rFonts w:hint="eastAsia" w:ascii="宋体" w:hAnsi="宋体" w:cs="宋体"/>
              </w:rPr>
              <w:t xml:space="preserve">提供原厂白皮书或者产品画册或者（产品官网链接和截图）。</w:t>
            </w:r>
            <w:r>
              <w:rPr>
                <w:rFonts w:hint="eastAsia" w:asciiTheme="minorEastAsia" w:hAnsiTheme="minorEastAsia" w:eastAsiaTheme="minorEastAsia" w:cstheme="minorEastAsia"/>
                <w:color w:val="ff0000"/>
                <w:lang w:bidi="ar"/>
              </w:rPr>
              <w:br/>
            </w:r>
            <w:r>
              <w:rPr>
                <w:rFonts w:hint="eastAsia" w:asciiTheme="minorEastAsia" w:hAnsiTheme="minorEastAsia" w:eastAsiaTheme="minorEastAsia" w:cstheme="minorEastAsia"/>
                <w:color w:val="000000"/>
                <w:lang w:bidi="ar"/>
              </w:rPr>
              <w:t xml:space="preserve">2.支持并每台实配可拔插双模块化电源，实现1+1冗余；</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3.支持静态路由、RIP/RIPng、OSPFv2/OSPFv3等三层路由协议；</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4.支持虚拟化功能，即可将多台物理设备虚拟化为一台逻辑设备统一管理；</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5.</w:t>
            </w:r>
            <w:r>
              <w:rPr>
                <w:rFonts w:hint="eastAsia" w:asciiTheme="minorEastAsia" w:hAnsiTheme="minorEastAsia" w:eastAsiaTheme="minorEastAsia" w:cstheme="minorEastAsia"/>
                <w:color w:val="auto"/>
                <w:lang w:bidi="ar"/>
              </w:rPr>
              <w:t xml:space="preserve">每台标配不低于1根虚拟化线缆；</w:t>
            </w:r>
            <w:r/>
          </w:p>
          <w:p>
            <w:pPr>
              <w:pStyle w:val="736"/>
              <w:ind w:firstLine="0"/>
              <w:rPr>
                <w:rFonts w:hint="eastAsia" w:eastAsia="宋体"/>
                <w:lang w:eastAsia="zh-CN"/>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.所投产品具备工业和信息化部颁发的进网许可证（CTA认证），</w:t>
            </w:r>
            <w:r>
              <w:rPr>
                <w:rFonts w:hint="eastAsia" w:asciiTheme="minorEastAsia" w:hAnsiTheme="minorEastAsia" w:eastAsiaTheme="minorEastAsia" w:cstheme="minorEastAsia"/>
                <w:color w:val="auto"/>
                <w:sz w:val="21"/>
                <w:szCs w:val="21"/>
                <w:lang w:eastAsia="zh-CN"/>
              </w:rPr>
              <w:t xml:space="preserve">投标</w:t>
            </w:r>
            <w:r>
              <w:rPr>
                <w:rFonts w:hint="eastAsia" w:asciiTheme="minorEastAsia" w:hAnsiTheme="minorEastAsia" w:eastAsiaTheme="minorEastAsia" w:cstheme="minorEastAsia"/>
                <w:color w:val="auto"/>
                <w:sz w:val="21"/>
                <w:szCs w:val="21"/>
                <w:lang w:bidi="ar"/>
              </w:rPr>
              <w:t xml:space="preserve">时须提供：进网许可证清晰扫描件；工信部官网查询结果截图，显示设备型号、生产企业、许可证编号及状态为“有效”。</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无线网络</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left"/>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auto"/>
                <w:lang w:bidi="ar"/>
              </w:rPr>
              <w:t xml:space="preserve">无线AC控制器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0"/>
                <w:numId w:val="0"/>
              </w:numPr>
              <w:jc w:val="left"/>
              <w:spacing w:line="400" w:lineRule="exact"/>
              <w:widowControl/>
              <w:rPr>
                <w:rFonts w:hint="eastAsia" w:eastAsia="宋体"/>
                <w:lang w:eastAsia="zh-CN"/>
              </w:rPr>
            </w:pPr>
            <w:r>
              <w:rPr>
                <w:rFonts w:hint="eastAsia" w:asciiTheme="minorEastAsia" w:hAnsiTheme="minorEastAsia" w:eastAsiaTheme="minorEastAsia" w:cstheme="minorEastAsia"/>
                <w:color w:val="000000"/>
                <w:lang w:val="en-US" w:eastAsia="zh-CN" w:bidi="ar"/>
              </w:rPr>
              <w:t xml:space="preserve">1.</w:t>
            </w:r>
            <w:r>
              <w:rPr>
                <w:rFonts w:hint="eastAsia" w:asciiTheme="minorEastAsia" w:hAnsiTheme="minorEastAsia" w:eastAsiaTheme="minorEastAsia" w:cstheme="minorEastAsia"/>
                <w:color w:val="000000"/>
                <w:lang w:bidi="ar"/>
              </w:rPr>
              <w:t xml:space="preserve">实现对AP的管理、支持有线无线用户的统一认证管理；</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2.在双频模式下，优先引导用户使用5Ghz频段；</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3.支持Web认证、802.1x、无感知认证、短信认证、二维码等认证功能；</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4.通过无感知认证方式接入网络，仅需首次输入账号和密码，避免了开机后再次输入账号</w:t>
            </w:r>
            <w:r>
              <w:rPr>
                <w:rFonts w:hint="eastAsia" w:asciiTheme="minorEastAsia" w:hAnsiTheme="minorEastAsia" w:eastAsiaTheme="minorEastAsia" w:cstheme="minorEastAsia"/>
                <w:color w:val="auto"/>
                <w:lang w:bidi="ar"/>
              </w:rPr>
              <w:t xml:space="preserve">密码的过程；</w:t>
            </w:r>
            <w:r>
              <w:rPr>
                <w:rFonts w:hint="eastAsia" w:asciiTheme="minorEastAsia" w:hAnsiTheme="minorEastAsia" w:eastAsiaTheme="minorEastAsia" w:cstheme="minorEastAsia"/>
                <w:color w:val="auto"/>
                <w:lang w:bidi="ar"/>
              </w:rPr>
              <w:br/>
            </w: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bidi="ar"/>
              </w:rPr>
              <w:t xml:space="preserve">5.数据转发性能≥20Gbps；</w:t>
            </w:r>
            <w:r>
              <w:rPr>
                <w:rFonts w:hint="eastAsia" w:ascii="宋体" w:hAnsi="宋体" w:cs="宋体"/>
              </w:rPr>
              <w:t xml:space="preserve">提供原厂白皮书或者产品画册或者（产品官网链接和截图）。</w:t>
            </w:r>
            <w:r>
              <w:rPr>
                <w:rFonts w:hint="eastAsia" w:asciiTheme="minorEastAsia" w:hAnsiTheme="minorEastAsia" w:eastAsiaTheme="minorEastAsia" w:cstheme="minorEastAsia"/>
                <w:color w:val="auto"/>
                <w:lang w:bidi="ar"/>
              </w:rPr>
              <w:br/>
            </w:r>
            <w:r>
              <w:rPr>
                <w:rFonts w:hint="eastAsia" w:asciiTheme="minorEastAsia" w:hAnsiTheme="minorEastAsia" w:eastAsiaTheme="minorEastAsia" w:cstheme="minorEastAsia"/>
                <w:color w:val="auto"/>
                <w:lang w:bidi="ar"/>
              </w:rPr>
              <w:t xml:space="preserve">6.支持按需射频扫描，可扫描无线频段与信道，识别非法AP和非法无线网络，并向管理员发出警报</w:t>
            </w:r>
            <w:r>
              <w:rPr>
                <w:rFonts w:hint="eastAsia" w:asciiTheme="minorEastAsia" w:hAnsiTheme="minorEastAsia" w:eastAsiaTheme="minorEastAsia" w:cstheme="minorEastAsia"/>
                <w:color w:val="000000"/>
                <w:lang w:bidi="ar"/>
              </w:rPr>
              <w:t xml:space="preserve">，以便对高安全性的环境提供全天候保护；</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7.支持基于用户、流量以及频段的智能负载均衡；</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8.支持AC内、跨AC间、本地转发下AC内以及本地转发下AC间二层/三层漫游 ；</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9.支持AC虚拟化技术、N:M热备份；</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10.支持静态路由、RIP、RIPng、OSPF、OSPFv3；</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bidi="ar"/>
              </w:rPr>
              <w:t xml:space="preserve">11.独立AC本次实配：单台最大配置AP数≥</w:t>
            </w:r>
            <w:r>
              <w:rPr>
                <w:rFonts w:hint="eastAsia" w:asciiTheme="minorEastAsia" w:hAnsiTheme="minorEastAsia" w:eastAsiaTheme="minorEastAsia" w:cstheme="minorEastAsia"/>
                <w:color w:val="auto"/>
                <w:lang w:val="en-US" w:eastAsia="zh-CN" w:bidi="ar"/>
              </w:rPr>
              <w:t xml:space="preserve">256</w:t>
            </w:r>
            <w:r>
              <w:rPr>
                <w:rFonts w:hint="eastAsia" w:asciiTheme="minorEastAsia" w:hAnsiTheme="minorEastAsia" w:eastAsiaTheme="minorEastAsia" w:cstheme="minorEastAsia"/>
                <w:color w:val="auto"/>
                <w:lang w:bidi="ar"/>
              </w:rPr>
              <w:t xml:space="preserve">，千兆电口≥8个，千兆光口≥2个，万兆光接口≥2个，配置满足本项目的无线授权数，双电源。</w:t>
            </w:r>
            <w:r>
              <w:rPr>
                <w:rFonts w:hint="eastAsia" w:ascii="宋体" w:hAnsi="宋体" w:cs="宋体"/>
                <w:color w:val="auto"/>
              </w:rPr>
              <w:t xml:space="preserve">提供原厂白皮书</w:t>
            </w:r>
            <w:r>
              <w:rPr>
                <w:rFonts w:hint="eastAsia" w:ascii="宋体" w:hAnsi="宋体" w:cs="宋体"/>
              </w:rPr>
              <w:t xml:space="preserve">或者产品画册或者（产品官网链接和截图）。</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面板式无线AP</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1.支持胖/瘦AP两种工作模式；</w:t>
            </w:r>
            <w:r/>
          </w:p>
          <w:p>
            <w:pPr>
              <w:jc w:val="left"/>
              <w:spacing w:line="400" w:lineRule="exact"/>
              <w:widowControl/>
              <w:rPr>
                <w:rFonts w:hint="eastAsia" w:ascii="宋体" w:hAnsi="宋体" w:cs="宋体"/>
              </w:rPr>
            </w:pPr>
            <w:r>
              <w:rPr>
                <w:rFonts w:hint="eastAsia" w:ascii="宋体" w:hAnsi="宋体" w:cs="宋体"/>
              </w:rPr>
              <w:t xml:space="preserve">★2. 协议标准：同时支持802.11a/b/g/n/ac/ac wave2/ax协议标准；提供原厂白皮书或者产品画册或者（产品官网链接和截图）或者第三方检测机构出具的检测报告扫描件。</w:t>
            </w:r>
            <w:r/>
          </w:p>
          <w:p>
            <w:pPr>
              <w:jc w:val="left"/>
              <w:spacing w:line="400" w:lineRule="exact"/>
              <w:widowControl/>
              <w:rPr>
                <w:rFonts w:hint="eastAsia" w:ascii="宋体" w:hAnsi="宋体" w:eastAsia="宋体" w:cs="宋体"/>
                <w:lang w:eastAsia="zh-CN"/>
              </w:rPr>
            </w:pPr>
            <w:r>
              <w:rPr>
                <w:rFonts w:hint="eastAsia" w:ascii="宋体" w:hAnsi="宋体" w:cs="宋体"/>
              </w:rPr>
              <w:t xml:space="preserve">3. 安装方式：支持面板、挂墙、桌面等安装方式，可安装在86面板盒上</w:t>
            </w:r>
            <w:r>
              <w:rPr>
                <w:rFonts w:hint="eastAsia" w:ascii="宋体" w:hAnsi="宋体" w:cs="宋体"/>
                <w:lang w:eastAsia="zh-CN"/>
              </w:rPr>
              <w:t xml:space="preserve">。</w:t>
            </w:r>
            <w:r/>
          </w:p>
          <w:p>
            <w:pPr>
              <w:jc w:val="left"/>
              <w:spacing w:line="400" w:lineRule="exact"/>
              <w:widowControl/>
              <w:rPr>
                <w:rFonts w:hint="eastAsia" w:ascii="宋体" w:hAnsi="宋体" w:cs="宋体"/>
              </w:rPr>
            </w:pPr>
            <w:r>
              <w:rPr>
                <w:rFonts w:hint="eastAsia" w:ascii="宋体" w:hAnsi="宋体" w:cs="宋体"/>
              </w:rPr>
              <w:t xml:space="preserve">★4. 射频：所有射频都支持MU-MIMO，≥4空间流，整机速率≥2.9Gbps；提供原厂白皮书或者产品画册或者（产品官网链接和截图）或者第三方检测机构出具的检测报告扫描件。</w:t>
            </w:r>
            <w:r/>
          </w:p>
          <w:p>
            <w:pPr>
              <w:jc w:val="left"/>
              <w:spacing w:line="400" w:lineRule="exact"/>
              <w:widowControl/>
              <w:rPr>
                <w:rFonts w:hint="eastAsia" w:ascii="宋体" w:hAnsi="宋体" w:eastAsia="宋体" w:cs="宋体"/>
                <w:color w:val="auto"/>
                <w:lang w:eastAsia="zh-CN"/>
              </w:rPr>
            </w:pPr>
            <w:r>
              <w:rPr>
                <w:rFonts w:hint="eastAsia" w:ascii="宋体" w:hAnsi="宋体" w:cs="宋体"/>
              </w:rPr>
              <w:t xml:space="preserve">5. 接口：≥1</w:t>
            </w:r>
            <w:r>
              <w:rPr>
                <w:rFonts w:hint="eastAsia" w:ascii="宋体" w:hAnsi="宋体" w:cs="宋体"/>
                <w:color w:val="auto"/>
              </w:rPr>
              <w:t xml:space="preserve">个GE上行接口，≥1个GE下行接口</w:t>
            </w:r>
            <w:r>
              <w:rPr>
                <w:rFonts w:hint="eastAsia" w:ascii="宋体" w:hAnsi="宋体" w:cs="宋体"/>
                <w:color w:val="auto"/>
                <w:lang w:eastAsia="zh-CN"/>
              </w:rPr>
              <w:t xml:space="preserve">。</w:t>
            </w:r>
            <w:r/>
          </w:p>
          <w:p>
            <w:pPr>
              <w:jc w:val="left"/>
              <w:spacing w:line="400" w:lineRule="exact"/>
              <w:widowControl/>
              <w:rPr>
                <w:rFonts w:hint="eastAsia" w:ascii="宋体" w:hAnsi="宋体" w:eastAsia="宋体" w:cs="宋体"/>
                <w:color w:val="auto"/>
                <w:lang w:eastAsia="zh-CN"/>
              </w:rPr>
            </w:pPr>
            <w:r>
              <w:rPr>
                <w:rFonts w:hint="eastAsia" w:ascii="宋体" w:hAnsi="宋体" w:cs="宋体"/>
                <w:color w:val="auto"/>
              </w:rPr>
              <w:t xml:space="preserve">6. 天线：内置智能天线，可有效提升覆盖范围</w:t>
            </w:r>
            <w:r>
              <w:rPr>
                <w:rFonts w:hint="eastAsia" w:ascii="宋体" w:hAnsi="宋体" w:cs="宋体"/>
                <w:color w:val="auto"/>
                <w:lang w:eastAsia="zh-CN"/>
              </w:rPr>
              <w:t xml:space="preserve">。</w:t>
            </w:r>
            <w:r/>
          </w:p>
          <w:p>
            <w:pPr>
              <w:jc w:val="left"/>
              <w:spacing w:line="400" w:lineRule="exact"/>
              <w:widowControl/>
              <w:rPr>
                <w:rFonts w:hint="eastAsia" w:ascii="宋体" w:hAnsi="宋体" w:eastAsia="宋体" w:cs="宋体"/>
                <w:color w:val="auto"/>
                <w:lang w:eastAsia="zh-CN"/>
              </w:rPr>
            </w:pPr>
            <w:r>
              <w:rPr>
                <w:rFonts w:hint="eastAsia" w:ascii="宋体" w:hAnsi="宋体" w:cs="宋体"/>
                <w:color w:val="auto"/>
              </w:rPr>
              <w:t xml:space="preserve">7.内置蓝牙5.0</w:t>
            </w:r>
            <w:r>
              <w:rPr>
                <w:rFonts w:hint="eastAsia" w:ascii="宋体" w:hAnsi="宋体" w:cs="宋体"/>
                <w:color w:val="auto"/>
                <w:lang w:val="en-US" w:eastAsia="zh-CN"/>
              </w:rPr>
              <w:t xml:space="preserve">及以上</w:t>
            </w:r>
            <w:r>
              <w:rPr>
                <w:rFonts w:hint="eastAsia" w:ascii="宋体" w:hAnsi="宋体" w:cs="宋体"/>
                <w:color w:val="auto"/>
              </w:rPr>
              <w:t xml:space="preserve">或者RFID，可实现蓝牙终端精确定位，提供官网截图或其他证明材料扫描件</w:t>
            </w:r>
            <w:r>
              <w:rPr>
                <w:rFonts w:hint="eastAsia" w:ascii="宋体" w:hAnsi="宋体" w:cs="宋体"/>
                <w:color w:val="auto"/>
                <w:lang w:eastAsia="zh-CN"/>
              </w:rPr>
              <w:t xml:space="preserve">。</w:t>
            </w:r>
            <w:r/>
          </w:p>
          <w:p>
            <w:pPr>
              <w:jc w:val="left"/>
              <w:spacing w:line="400" w:lineRule="exact"/>
              <w:widowControl/>
              <w:rPr>
                <w:rFonts w:hint="eastAsia" w:ascii="宋体" w:hAnsi="宋体" w:eastAsia="宋体" w:cs="宋体"/>
                <w:color w:val="auto"/>
                <w:lang w:eastAsia="zh-CN"/>
              </w:rPr>
            </w:pPr>
            <w:r>
              <w:rPr>
                <w:rFonts w:hint="eastAsia" w:ascii="宋体" w:hAnsi="宋体" w:cs="宋体"/>
                <w:color w:val="auto"/>
              </w:rPr>
              <w:t xml:space="preserve">8. 发射功率≥20dBm，支持按1dB步长调整发射功率</w:t>
            </w:r>
            <w:r>
              <w:rPr>
                <w:rFonts w:hint="eastAsia" w:ascii="宋体" w:hAnsi="宋体" w:cs="宋体"/>
                <w:color w:val="auto"/>
                <w:lang w:eastAsia="zh-CN"/>
              </w:rPr>
              <w:t xml:space="preserve">。</w:t>
            </w:r>
            <w:r/>
          </w:p>
          <w:p>
            <w:pPr>
              <w:jc w:val="left"/>
              <w:spacing w:line="400" w:lineRule="exact"/>
              <w:widowControl/>
              <w:rPr>
                <w:rFonts w:hint="eastAsia" w:ascii="宋体" w:hAnsi="宋体" w:cs="宋体"/>
                <w:b/>
                <w:bCs/>
                <w:lang w:bidi="ar"/>
              </w:rPr>
            </w:pPr>
            <w:r>
              <w:rPr>
                <w:rFonts w:hint="eastAsia" w:ascii="宋体" w:hAnsi="宋体" w:cs="宋体"/>
                <w:color w:val="auto"/>
              </w:rPr>
              <w:t xml:space="preserve">▲9.功能特性：支持MAC认证、Portal认证、802.1X认证、WAPI认证、PSK认证模式 ，并</w:t>
            </w:r>
            <w:r>
              <w:rPr>
                <w:rFonts w:hint="eastAsia" w:ascii="宋体" w:hAnsi="宋体" w:cs="宋体"/>
              </w:rPr>
              <w:t xml:space="preserve">可支持MAC + Portal混合认证；提供原厂白皮书或者产品画册或者（产品官网链接和截图）或者第三方检测机构出具的检测报告扫描件。</w:t>
            </w:r>
            <w:r/>
          </w:p>
          <w:p>
            <w:pPr>
              <w:jc w:val="left"/>
              <w:spacing w:line="400" w:lineRule="exact"/>
              <w:widowControl/>
              <w:rPr>
                <w:rFonts w:hint="eastAsia" w:ascii="宋体" w:hAnsi="宋体" w:eastAsia="宋体" w:cs="宋体"/>
                <w:lang w:eastAsia="zh-CN"/>
              </w:rPr>
            </w:pPr>
            <w:r>
              <w:rPr>
                <w:rFonts w:hint="eastAsia" w:ascii="宋体" w:hAnsi="宋体" w:cs="宋体"/>
              </w:rPr>
              <w:t xml:space="preserve">10.供电：支持本地DC电源供电和PoE供电两种供电模式</w:t>
            </w:r>
            <w:r>
              <w:rPr>
                <w:rFonts w:hint="eastAsia" w:ascii="宋体" w:hAnsi="宋体" w:cs="宋体"/>
                <w:lang w:eastAsia="zh-CN"/>
              </w:rPr>
              <w:t xml:space="preserve">。</w:t>
            </w:r>
            <w:r/>
          </w:p>
          <w:p>
            <w:pPr>
              <w:jc w:val="left"/>
              <w:spacing w:line="400" w:lineRule="exact"/>
              <w:widowControl/>
              <w:rPr>
                <w:rFonts w:hint="eastAsia" w:ascii="宋体" w:hAnsi="宋体" w:eastAsia="宋体" w:cs="宋体"/>
                <w:lang w:eastAsia="zh-CN"/>
              </w:rPr>
            </w:pPr>
            <w:r>
              <w:rPr>
                <w:rFonts w:hint="eastAsia" w:ascii="宋体" w:hAnsi="宋体" w:cs="宋体"/>
              </w:rPr>
              <w:t xml:space="preserve">11.支持AP本地转发（又称直接转发），提供官网截图或其他证明材料扫描件</w:t>
            </w:r>
            <w:r>
              <w:rPr>
                <w:rFonts w:hint="eastAsia" w:ascii="宋体" w:hAnsi="宋体" w:cs="宋体"/>
                <w:lang w:eastAsia="zh-CN"/>
              </w:rPr>
              <w:t xml:space="preserve">。</w:t>
            </w:r>
            <w:r/>
          </w:p>
          <w:p>
            <w:pPr>
              <w:jc w:val="left"/>
              <w:spacing w:line="400" w:lineRule="exact"/>
              <w:widowControl/>
              <w:rPr>
                <w:rFonts w:hint="eastAsia" w:eastAsia="宋体"/>
                <w:lang w:eastAsia="zh-CN"/>
              </w:rPr>
            </w:pPr>
            <w:r>
              <w:rPr>
                <w:rFonts w:hint="eastAsia" w:ascii="宋体" w:hAnsi="宋体" w:cs="宋体"/>
                <w:lang w:bidi="ar"/>
              </w:rPr>
              <w:t xml:space="preserve">★12.所投产品具有无线电发射设备型号核准证（SRRC认证），提供证书扫描件。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放装式无线AP</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 协议标准：同时支持802.11a/b/g/n/ac/ac wave2/ax协议标准，内置智能天线；提供原厂白皮书或者产品画册或者（产品官网链接和截图）或者第三方检测机构出具的检测报告扫描件。</w:t>
            </w:r>
            <w:r/>
          </w:p>
          <w:p>
            <w:pPr>
              <w:jc w:val="left"/>
              <w:spacing w:line="400" w:lineRule="exact"/>
              <w:widowControl/>
              <w:rPr>
                <w:rFonts w:hint="eastAsia" w:ascii="宋体" w:hAnsi="宋体" w:eastAsia="宋体" w:cs="宋体"/>
                <w:lang w:eastAsia="zh-CN"/>
              </w:rPr>
            </w:pPr>
            <w:r>
              <w:rPr>
                <w:rFonts w:hint="eastAsia" w:ascii="宋体" w:hAnsi="宋体" w:cs="宋体"/>
              </w:rPr>
              <w:t xml:space="preserve">2. 安装方式：支持壁挂、吸顶等多种安装方式</w:t>
            </w:r>
            <w:r>
              <w:rPr>
                <w:rFonts w:hint="eastAsia" w:ascii="宋体" w:hAnsi="宋体" w:cs="宋体"/>
                <w:lang w:eastAsia="zh-CN"/>
              </w:rPr>
              <w:t xml:space="preserve">。</w:t>
            </w:r>
            <w:r/>
          </w:p>
          <w:p>
            <w:pPr>
              <w:jc w:val="left"/>
              <w:spacing w:line="400" w:lineRule="exact"/>
              <w:widowControl/>
              <w:rPr>
                <w:rFonts w:hint="eastAsia" w:ascii="宋体" w:hAnsi="宋体" w:cs="宋体"/>
              </w:rPr>
            </w:pPr>
            <w:r>
              <w:rPr>
                <w:rFonts w:hint="eastAsia" w:ascii="宋体" w:hAnsi="宋体" w:cs="宋体"/>
              </w:rPr>
              <w:t xml:space="preserve">3. ▲（1）射频：所有射频都支持MU-MIMO</w:t>
            </w:r>
            <w:r>
              <w:rPr>
                <w:rFonts w:hint="eastAsia" w:ascii="宋体" w:hAnsi="宋体" w:cs="宋体"/>
                <w:b/>
                <w:bCs/>
              </w:rPr>
              <w:t xml:space="preserve">，</w:t>
            </w:r>
            <w:r>
              <w:rPr>
                <w:rFonts w:hint="eastAsia" w:ascii="宋体" w:hAnsi="宋体" w:cs="宋体"/>
              </w:rPr>
              <w:t xml:space="preserve">≥8空间流，三射频设计，包括1个2.4G射频，2个5G射频；★（2）工作时整机最大速率≥2.975Gbps；提供原厂白皮书或者产品画册或者（产品官网链接和截图）或者第三方检测机构出具的检测报告扫描件。</w:t>
            </w:r>
            <w:r/>
          </w:p>
          <w:p>
            <w:pPr>
              <w:jc w:val="left"/>
              <w:spacing w:line="400" w:lineRule="exact"/>
              <w:widowControl/>
              <w:rPr>
                <w:rFonts w:hint="eastAsia" w:ascii="宋体" w:hAnsi="宋体" w:eastAsia="宋体" w:cs="宋体"/>
                <w:b/>
                <w:bCs/>
                <w:color w:val="auto"/>
                <w:lang w:eastAsia="zh-CN"/>
              </w:rPr>
            </w:pPr>
            <w:r>
              <w:rPr>
                <w:rFonts w:hint="eastAsia" w:ascii="宋体" w:hAnsi="宋体" w:cs="宋体"/>
              </w:rPr>
              <w:t xml:space="preserve">4. 接口：≥1</w:t>
            </w:r>
            <w:r>
              <w:rPr>
                <w:rFonts w:hint="eastAsia" w:ascii="宋体" w:hAnsi="宋体" w:cs="宋体"/>
                <w:color w:val="auto"/>
              </w:rPr>
              <w:t xml:space="preserve">个GE上行接口，≥1个GE下行接口</w:t>
            </w:r>
            <w:r>
              <w:rPr>
                <w:rFonts w:hint="eastAsia" w:ascii="宋体" w:hAnsi="宋体" w:cs="宋体"/>
                <w:color w:val="auto"/>
                <w:lang w:eastAsia="zh-CN"/>
              </w:rPr>
              <w:t xml:space="preserve">。</w:t>
            </w:r>
            <w:r/>
          </w:p>
          <w:p>
            <w:pPr>
              <w:jc w:val="left"/>
              <w:spacing w:line="400" w:lineRule="exact"/>
              <w:widowControl/>
              <w:rPr>
                <w:rFonts w:hint="eastAsia" w:ascii="宋体" w:hAnsi="宋体" w:eastAsia="宋体" w:cs="宋体"/>
                <w:color w:val="auto"/>
                <w:lang w:eastAsia="zh-CN"/>
              </w:rPr>
            </w:pPr>
            <w:r>
              <w:rPr>
                <w:rFonts w:hint="eastAsia" w:ascii="宋体" w:hAnsi="宋体" w:cs="宋体"/>
                <w:color w:val="auto"/>
              </w:rPr>
              <w:t xml:space="preserve">5.天线：内置智能天线，可有效提升覆盖范围</w:t>
            </w:r>
            <w:r>
              <w:rPr>
                <w:rFonts w:hint="eastAsia" w:ascii="宋体" w:hAnsi="宋体" w:cs="宋体"/>
                <w:color w:val="auto"/>
                <w:lang w:eastAsia="zh-CN"/>
              </w:rPr>
              <w:t xml:space="preserve">。</w:t>
            </w:r>
            <w:r/>
          </w:p>
          <w:p>
            <w:pPr>
              <w:jc w:val="left"/>
              <w:spacing w:line="400" w:lineRule="exact"/>
              <w:widowControl/>
              <w:rPr>
                <w:rFonts w:hint="eastAsia" w:ascii="宋体" w:hAnsi="宋体" w:eastAsia="宋体" w:cs="宋体"/>
                <w:color w:val="auto"/>
                <w:lang w:eastAsia="zh-CN"/>
              </w:rPr>
            </w:pPr>
            <w:r>
              <w:rPr>
                <w:rFonts w:hint="eastAsia" w:ascii="宋体" w:hAnsi="宋体" w:cs="宋体"/>
                <w:color w:val="auto"/>
              </w:rPr>
              <w:t xml:space="preserve">6.内置蓝牙5.0</w:t>
            </w:r>
            <w:r>
              <w:rPr>
                <w:rFonts w:hint="eastAsia" w:ascii="宋体" w:hAnsi="宋体" w:cs="宋体"/>
                <w:color w:val="auto"/>
                <w:lang w:val="en-US" w:eastAsia="zh-CN"/>
              </w:rPr>
              <w:t xml:space="preserve">及以上</w:t>
            </w:r>
            <w:r>
              <w:rPr>
                <w:rFonts w:hint="eastAsia" w:ascii="宋体" w:hAnsi="宋体" w:cs="宋体"/>
                <w:color w:val="auto"/>
              </w:rPr>
              <w:t xml:space="preserve">/RFID，可实现蓝牙终端精确定位，提供官网截图或其他证明材料扫描件</w:t>
            </w:r>
            <w:r>
              <w:rPr>
                <w:rFonts w:hint="eastAsia" w:ascii="宋体" w:hAnsi="宋体" w:cs="宋体"/>
                <w:color w:val="auto"/>
                <w:lang w:eastAsia="zh-CN"/>
              </w:rPr>
              <w:t xml:space="preserve">。</w:t>
            </w:r>
            <w:r/>
          </w:p>
          <w:p>
            <w:pPr>
              <w:jc w:val="left"/>
              <w:spacing w:line="400" w:lineRule="exact"/>
              <w:widowControl/>
              <w:rPr>
                <w:rFonts w:hint="eastAsia" w:ascii="宋体" w:hAnsi="宋体" w:eastAsia="宋体" w:cs="宋体"/>
                <w:lang w:eastAsia="zh-CN"/>
              </w:rPr>
            </w:pPr>
            <w:r>
              <w:rPr>
                <w:rFonts w:hint="eastAsia" w:ascii="宋体" w:hAnsi="宋体" w:cs="宋体"/>
              </w:rPr>
              <w:t xml:space="preserve">7.发射功率≥20dBm，支持按1dB步长调整发射功率</w:t>
            </w:r>
            <w:r>
              <w:rPr>
                <w:rFonts w:hint="eastAsia" w:ascii="宋体" w:hAnsi="宋体" w:cs="宋体"/>
                <w:lang w:eastAsia="zh-CN"/>
              </w:rPr>
              <w:t xml:space="preserve">。</w:t>
            </w:r>
            <w:r/>
          </w:p>
          <w:p>
            <w:pPr>
              <w:jc w:val="left"/>
              <w:spacing w:line="400" w:lineRule="exact"/>
              <w:widowControl/>
              <w:rPr>
                <w:rFonts w:hint="eastAsia" w:ascii="宋体" w:hAnsi="宋体" w:cs="宋体"/>
              </w:rPr>
            </w:pPr>
            <w:r>
              <w:rPr>
                <w:rFonts w:hint="eastAsia" w:ascii="宋体" w:hAnsi="宋体" w:cs="宋体"/>
              </w:rPr>
              <w:t xml:space="preserve">▲8.功能特性：支持MAC认证、Portal认证、802.1X认证、WAPI认证、PSK认证模式 ，并可支持MAC + Portal混合认证；提供原厂白皮书或者产品画册或者（产品官网链接和截图）或者第三方检测机构出具的检测报告扫描件。</w:t>
            </w:r>
            <w:r/>
          </w:p>
          <w:p>
            <w:pPr>
              <w:jc w:val="left"/>
              <w:spacing w:line="400" w:lineRule="exact"/>
              <w:widowControl/>
              <w:rPr>
                <w:rFonts w:hint="eastAsia" w:ascii="宋体" w:hAnsi="宋体" w:cs="宋体"/>
              </w:rPr>
            </w:pPr>
            <w:r>
              <w:rPr>
                <w:rFonts w:hint="eastAsia" w:ascii="宋体" w:hAnsi="宋体" w:cs="宋体"/>
              </w:rPr>
              <w:t xml:space="preserve">9.供电：支持本地DC电源供电和PoE供电两种供电模式；</w:t>
            </w:r>
            <w:r/>
          </w:p>
          <w:p>
            <w:pPr>
              <w:jc w:val="left"/>
              <w:spacing w:line="400" w:lineRule="exact"/>
              <w:widowControl/>
              <w:rPr>
                <w:rFonts w:hint="eastAsia" w:ascii="宋体" w:hAnsi="宋体" w:cs="宋体"/>
              </w:rPr>
            </w:pPr>
            <w:r>
              <w:rPr>
                <w:rFonts w:hint="eastAsia" w:ascii="宋体" w:hAnsi="宋体" w:cs="宋体"/>
              </w:rPr>
              <w:t xml:space="preserve">10.为适应恶劣天气及超强工作时间下带来的故障风险，要求高密设备工作温度满足：≥[-10°C, 50°C], 提供官网截图或权威机构测试报告扫描件；</w:t>
            </w:r>
            <w:r/>
          </w:p>
          <w:p>
            <w:pPr>
              <w:jc w:val="left"/>
              <w:spacing w:line="400" w:lineRule="exact"/>
              <w:widowControl/>
              <w:rPr>
                <w:rFonts w:hint="eastAsia" w:ascii="宋体" w:hAnsi="宋体" w:cs="宋体"/>
              </w:rPr>
            </w:pPr>
            <w:r>
              <w:rPr>
                <w:rFonts w:hint="eastAsia" w:ascii="宋体" w:hAnsi="宋体" w:cs="宋体"/>
              </w:rPr>
              <w:t xml:space="preserve">11.支持AP本地转发（又称直接转发），提供官网截图或其他证明材料扫描件；</w:t>
            </w:r>
            <w:r/>
          </w:p>
          <w:p>
            <w:pPr>
              <w:jc w:val="left"/>
              <w:spacing w:line="400" w:lineRule="exact"/>
              <w:widowControl/>
              <w:rPr>
                <w:rFonts w:hint="eastAsia" w:eastAsia="宋体"/>
                <w:lang w:eastAsia="zh-CN"/>
              </w:rPr>
            </w:pPr>
            <w:r>
              <w:rPr>
                <w:rFonts w:hint="eastAsia" w:ascii="宋体" w:hAnsi="宋体" w:cs="宋体"/>
                <w:lang w:bidi="ar"/>
              </w:rPr>
              <w:t xml:space="preserve">★12.所投产品具有无线电发射设备型号核准证（SRRC认证），提供证书扫描件。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放装式高密无线AP</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宋体" w:hAnsi="宋体" w:cs="宋体"/>
                <w:lang w:bidi="ar"/>
              </w:rPr>
            </w:pPr>
            <w:r>
              <w:rPr>
                <w:rFonts w:hint="eastAsia" w:ascii="宋体" w:hAnsi="宋体" w:cs="宋体"/>
              </w:rPr>
              <w:t xml:space="preserve">★</w:t>
            </w:r>
            <w:r>
              <w:rPr>
                <w:rFonts w:hint="eastAsia" w:ascii="宋体" w:hAnsi="宋体" w:cs="宋体"/>
                <w:lang w:bidi="ar"/>
              </w:rPr>
              <w:t xml:space="preserve">1. 协议标准：同时支持802.11a/b/g/n/ac/ac wave2/ax协议标准，内置智能天线；</w:t>
            </w:r>
            <w:r>
              <w:rPr>
                <w:rFonts w:hint="eastAsia" w:ascii="宋体" w:hAnsi="宋体" w:cs="宋体"/>
              </w:rPr>
              <w:t xml:space="preserve">提供原厂白皮书或者产品画册或者（产品官网链接和截图）或者第三方检测机构出具的检测报告扫描件。</w:t>
            </w:r>
            <w:r/>
          </w:p>
          <w:p>
            <w:pPr>
              <w:jc w:val="left"/>
              <w:spacing w:line="400" w:lineRule="exact"/>
              <w:widowControl/>
              <w:rPr>
                <w:rFonts w:hint="eastAsia" w:ascii="宋体" w:hAnsi="宋体" w:eastAsia="宋体" w:cs="宋体"/>
                <w:lang w:eastAsia="zh-CN" w:bidi="ar"/>
              </w:rPr>
            </w:pPr>
            <w:r>
              <w:rPr>
                <w:rFonts w:hint="eastAsia" w:ascii="宋体" w:hAnsi="宋体" w:cs="宋体"/>
                <w:lang w:bidi="ar"/>
              </w:rPr>
              <w:t xml:space="preserve">2. 安装方式：支持壁挂、吸顶等多种安装方式</w:t>
            </w:r>
            <w:r>
              <w:rPr>
                <w:rFonts w:hint="eastAsia" w:ascii="宋体" w:hAnsi="宋体" w:cs="宋体"/>
                <w:lang w:eastAsia="zh-CN" w:bidi="ar"/>
              </w:rPr>
              <w:t xml:space="preserve">。</w:t>
            </w:r>
            <w:r/>
          </w:p>
          <w:p>
            <w:pPr>
              <w:jc w:val="left"/>
              <w:spacing w:line="400" w:lineRule="exact"/>
              <w:widowControl/>
              <w:rPr>
                <w:rFonts w:hint="eastAsia" w:ascii="宋体" w:hAnsi="宋体" w:cs="宋体"/>
                <w:lang w:bidi="ar"/>
              </w:rPr>
            </w:pPr>
            <w:r>
              <w:rPr>
                <w:rFonts w:hint="eastAsia" w:ascii="宋体" w:hAnsi="宋体" w:cs="宋体"/>
                <w:lang w:bidi="ar"/>
              </w:rPr>
              <w:t xml:space="preserve">3. ▲</w:t>
            </w:r>
            <w:r>
              <w:rPr>
                <w:rFonts w:hint="eastAsia" w:ascii="宋体" w:hAnsi="宋体" w:cs="宋体"/>
              </w:rPr>
              <w:t xml:space="preserve">（1）</w:t>
            </w:r>
            <w:r>
              <w:rPr>
                <w:rFonts w:hint="eastAsia" w:ascii="宋体" w:hAnsi="宋体" w:cs="宋体"/>
                <w:lang w:bidi="ar"/>
              </w:rPr>
              <w:t xml:space="preserve">射频：所有射频都支持MU-MIMO，≥6空间流，三射频设计，包括1个2.4G射频，2个5G射频；</w:t>
            </w:r>
            <w:r>
              <w:rPr>
                <w:rFonts w:hint="eastAsia" w:ascii="宋体" w:hAnsi="宋体" w:cs="宋体"/>
              </w:rPr>
              <w:t xml:space="preserve">★</w:t>
            </w:r>
            <w:r>
              <w:rPr>
                <w:rFonts w:hint="eastAsia" w:ascii="宋体" w:hAnsi="宋体" w:cs="宋体"/>
                <w:lang w:bidi="ar"/>
              </w:rPr>
              <w:t xml:space="preserve">（2）工作时整机最大速率</w:t>
            </w:r>
            <w:r>
              <w:rPr>
                <w:rFonts w:hint="eastAsia" w:ascii="宋体" w:hAnsi="宋体" w:cs="宋体"/>
              </w:rPr>
              <w:t xml:space="preserve">≥6Gbps</w:t>
            </w:r>
            <w:r>
              <w:rPr>
                <w:rFonts w:hint="eastAsia" w:ascii="宋体" w:hAnsi="宋体" w:cs="宋体"/>
                <w:lang w:bidi="ar"/>
              </w:rPr>
              <w:t xml:space="preserve">；</w:t>
            </w:r>
            <w:r>
              <w:rPr>
                <w:rFonts w:hint="eastAsia" w:ascii="宋体" w:hAnsi="宋体" w:cs="宋体"/>
              </w:rPr>
              <w:t xml:space="preserve">提供原厂白皮书或者产品画册或者（产品官网链接和截图）或者第三方检测机构出具的检测报告扫描件。</w:t>
            </w:r>
            <w:r/>
          </w:p>
          <w:p>
            <w:pPr>
              <w:jc w:val="left"/>
              <w:spacing w:line="400" w:lineRule="exact"/>
              <w:widowControl/>
              <w:rPr>
                <w:rFonts w:hint="eastAsia" w:ascii="宋体" w:hAnsi="宋体" w:eastAsia="宋体" w:cs="宋体"/>
                <w:color w:val="auto"/>
                <w:lang w:eastAsia="zh-CN" w:bidi="ar"/>
              </w:rPr>
            </w:pPr>
            <w:r>
              <w:rPr>
                <w:rFonts w:hint="eastAsia" w:ascii="宋体" w:hAnsi="宋体" w:cs="宋体"/>
              </w:rPr>
              <w:t xml:space="preserve">4</w:t>
            </w:r>
            <w:r>
              <w:rPr>
                <w:rFonts w:hint="eastAsia" w:ascii="宋体" w:hAnsi="宋体" w:cs="宋体"/>
                <w:lang w:bidi="ar"/>
              </w:rPr>
              <w:t xml:space="preserve">. 接口：</w:t>
            </w:r>
            <w:r>
              <w:rPr>
                <w:rFonts w:hint="eastAsia" w:ascii="宋体" w:hAnsi="宋体" w:cs="宋体"/>
                <w:color w:val="auto"/>
                <w:lang w:bidi="ar"/>
              </w:rPr>
              <w:t xml:space="preserve">≥1个GE上行接口，≥1个GE下行接口</w:t>
            </w:r>
            <w:r>
              <w:rPr>
                <w:rFonts w:hint="eastAsia" w:ascii="宋体" w:hAnsi="宋体" w:cs="宋体"/>
                <w:color w:val="auto"/>
                <w:lang w:eastAsia="zh-CN" w:bidi="ar"/>
              </w:rPr>
              <w:t xml:space="preserve">。</w:t>
            </w:r>
            <w:r/>
          </w:p>
          <w:p>
            <w:pPr>
              <w:jc w:val="left"/>
              <w:spacing w:line="400" w:lineRule="exact"/>
              <w:widowControl/>
              <w:rPr>
                <w:rFonts w:hint="eastAsia" w:ascii="宋体" w:hAnsi="宋体" w:eastAsia="宋体" w:cs="宋体"/>
                <w:color w:val="auto"/>
                <w:lang w:eastAsia="zh-CN" w:bidi="ar"/>
              </w:rPr>
            </w:pPr>
            <w:r>
              <w:rPr>
                <w:rFonts w:hint="eastAsia" w:ascii="宋体" w:hAnsi="宋体" w:cs="宋体"/>
                <w:color w:val="auto"/>
                <w:lang w:bidi="ar"/>
              </w:rPr>
              <w:t xml:space="preserve">5.天线：内置智能天线，可有效提升覆盖范围</w:t>
            </w:r>
            <w:r>
              <w:rPr>
                <w:rFonts w:hint="eastAsia" w:ascii="宋体" w:hAnsi="宋体" w:cs="宋体"/>
                <w:color w:val="auto"/>
                <w:lang w:eastAsia="zh-CN" w:bidi="ar"/>
              </w:rPr>
              <w:t xml:space="preserve">。</w:t>
            </w:r>
            <w:r/>
          </w:p>
          <w:p>
            <w:pPr>
              <w:jc w:val="left"/>
              <w:spacing w:line="400" w:lineRule="exact"/>
              <w:widowControl/>
              <w:rPr>
                <w:rFonts w:hint="eastAsia" w:ascii="宋体" w:hAnsi="宋体" w:eastAsia="宋体" w:cs="宋体"/>
                <w:color w:val="auto"/>
                <w:lang w:eastAsia="zh-CN" w:bidi="ar"/>
              </w:rPr>
            </w:pPr>
            <w:r>
              <w:rPr>
                <w:rFonts w:hint="eastAsia" w:ascii="宋体" w:hAnsi="宋体" w:cs="宋体"/>
                <w:color w:val="auto"/>
                <w:lang w:bidi="ar"/>
              </w:rPr>
              <w:t xml:space="preserve">6.内置蓝牙5.0</w:t>
            </w:r>
            <w:r>
              <w:rPr>
                <w:rFonts w:hint="eastAsia" w:ascii="宋体" w:hAnsi="宋体" w:cs="宋体"/>
                <w:color w:val="auto"/>
                <w:lang w:val="en-US" w:eastAsia="zh-CN" w:bidi="ar"/>
              </w:rPr>
              <w:t xml:space="preserve">及以上</w:t>
            </w:r>
            <w:r>
              <w:rPr>
                <w:rFonts w:hint="eastAsia" w:ascii="宋体" w:hAnsi="宋体" w:cs="宋体"/>
                <w:color w:val="auto"/>
                <w:lang w:bidi="ar"/>
              </w:rPr>
              <w:t xml:space="preserve">/RFID，</w:t>
            </w:r>
            <w:r>
              <w:rPr>
                <w:rFonts w:hint="eastAsia" w:ascii="宋体" w:hAnsi="宋体" w:cs="宋体"/>
                <w:color w:val="auto"/>
              </w:rPr>
              <w:t xml:space="preserve">可实现蓝牙终端精确定位，提供官网截图或其他证明材料扫描件</w:t>
            </w:r>
            <w:r>
              <w:rPr>
                <w:rFonts w:hint="eastAsia" w:ascii="宋体" w:hAnsi="宋体" w:cs="宋体"/>
                <w:color w:val="auto"/>
                <w:lang w:eastAsia="zh-CN"/>
              </w:rPr>
              <w:t xml:space="preserve">。</w:t>
            </w:r>
            <w:r/>
          </w:p>
          <w:p>
            <w:pPr>
              <w:jc w:val="left"/>
              <w:spacing w:line="400" w:lineRule="exact"/>
              <w:widowControl/>
              <w:rPr>
                <w:rFonts w:hint="eastAsia" w:ascii="宋体" w:hAnsi="宋体" w:eastAsia="宋体" w:cs="宋体"/>
                <w:color w:val="auto"/>
                <w:lang w:eastAsia="zh-CN" w:bidi="ar"/>
              </w:rPr>
            </w:pPr>
            <w:r>
              <w:rPr>
                <w:rFonts w:hint="eastAsia" w:ascii="宋体" w:hAnsi="宋体" w:cs="宋体"/>
                <w:color w:val="auto"/>
                <w:lang w:bidi="ar"/>
              </w:rPr>
              <w:t xml:space="preserve">7.发射功率≥20dBm，支持按1dB步长调整发射功率</w:t>
            </w:r>
            <w:r>
              <w:rPr>
                <w:rFonts w:hint="eastAsia" w:ascii="宋体" w:hAnsi="宋体" w:cs="宋体"/>
                <w:color w:val="auto"/>
                <w:lang w:eastAsia="zh-CN" w:bidi="ar"/>
              </w:rPr>
              <w:t xml:space="preserve">。</w:t>
            </w:r>
            <w:r/>
          </w:p>
          <w:p>
            <w:pPr>
              <w:jc w:val="left"/>
              <w:spacing w:line="400" w:lineRule="exact"/>
              <w:widowControl/>
              <w:rPr>
                <w:rFonts w:hint="eastAsia" w:ascii="宋体" w:hAnsi="宋体" w:cs="宋体"/>
                <w:lang w:bidi="ar"/>
              </w:rPr>
            </w:pPr>
            <w:r>
              <w:rPr>
                <w:rFonts w:hint="eastAsia" w:ascii="宋体" w:hAnsi="宋体" w:cs="宋体"/>
                <w:color w:val="auto"/>
                <w:lang w:bidi="ar"/>
              </w:rPr>
              <w:t xml:space="preserve">▲8.功能</w:t>
            </w:r>
            <w:r>
              <w:rPr>
                <w:rFonts w:hint="eastAsia" w:ascii="宋体" w:hAnsi="宋体" w:cs="宋体"/>
                <w:lang w:bidi="ar"/>
              </w:rPr>
              <w:t xml:space="preserve">特性：支持MAC认证、Portal认证、802.1X认证、WAPI认证、PSK认证模式 ，并可支持MAC + Portal混合认证；</w:t>
            </w:r>
            <w:r>
              <w:rPr>
                <w:rFonts w:hint="eastAsia" w:ascii="宋体" w:hAnsi="宋体" w:cs="宋体"/>
              </w:rPr>
              <w:t xml:space="preserve">提供原厂白皮书或者产品画册或者（产品官网链接和截图）或者第三方检测机构出具的检测报告扫描件。</w:t>
            </w:r>
            <w:r/>
          </w:p>
          <w:p>
            <w:pPr>
              <w:jc w:val="left"/>
              <w:spacing w:line="400" w:lineRule="exact"/>
              <w:widowControl/>
              <w:rPr>
                <w:rFonts w:hint="eastAsia" w:ascii="宋体" w:hAnsi="宋体" w:eastAsia="宋体" w:cs="宋体"/>
                <w:lang w:eastAsia="zh-CN" w:bidi="ar"/>
              </w:rPr>
            </w:pPr>
            <w:r>
              <w:rPr>
                <w:rFonts w:hint="eastAsia" w:ascii="宋体" w:hAnsi="宋体" w:cs="宋体"/>
                <w:lang w:bidi="ar"/>
              </w:rPr>
              <w:t xml:space="preserve">9.供电：支持本地DC电源供电和PoE供电两种供电模式</w:t>
            </w:r>
            <w:r>
              <w:rPr>
                <w:rFonts w:hint="eastAsia" w:ascii="宋体" w:hAnsi="宋体" w:cs="宋体"/>
                <w:lang w:eastAsia="zh-CN" w:bidi="ar"/>
              </w:rPr>
              <w:t xml:space="preserve">。</w:t>
            </w:r>
            <w:r/>
          </w:p>
          <w:p>
            <w:pPr>
              <w:jc w:val="left"/>
              <w:spacing w:line="400" w:lineRule="exact"/>
              <w:widowControl/>
              <w:rPr>
                <w:rFonts w:hint="eastAsia" w:ascii="宋体" w:hAnsi="宋体" w:eastAsia="宋体" w:cs="宋体"/>
                <w:lang w:eastAsia="zh-CN" w:bidi="ar"/>
              </w:rPr>
            </w:pPr>
            <w:r>
              <w:rPr>
                <w:rFonts w:hint="eastAsia" w:ascii="宋体" w:hAnsi="宋体" w:cs="宋体"/>
                <w:lang w:bidi="ar"/>
              </w:rPr>
              <w:t xml:space="preserve">10.为适应恶劣天气及超强工作时间下带来的故障风险，要求高密设备工作温度满足：≥[-10°C, 50°C], 提供官网截图或权威机构测试报告扫描件</w:t>
            </w:r>
            <w:r>
              <w:rPr>
                <w:rFonts w:hint="eastAsia" w:ascii="宋体" w:hAnsi="宋体" w:cs="宋体"/>
                <w:lang w:eastAsia="zh-CN" w:bidi="ar"/>
              </w:rPr>
              <w:t xml:space="preserve">。</w:t>
            </w:r>
            <w:r/>
          </w:p>
          <w:p>
            <w:pPr>
              <w:jc w:val="left"/>
              <w:spacing w:line="400" w:lineRule="exact"/>
              <w:widowControl/>
              <w:rPr>
                <w:rFonts w:hint="eastAsia" w:ascii="宋体" w:hAnsi="宋体" w:eastAsia="宋体" w:cs="宋体"/>
                <w:lang w:eastAsia="zh-CN"/>
              </w:rPr>
            </w:pPr>
            <w:r>
              <w:rPr>
                <w:rFonts w:hint="eastAsia" w:ascii="宋体" w:hAnsi="宋体" w:cs="宋体"/>
              </w:rPr>
              <w:t xml:space="preserve">11.支持AP本地转发（又称直接转发），提供官网截图或其他证明材料扫描件</w:t>
            </w:r>
            <w:r>
              <w:rPr>
                <w:rFonts w:hint="eastAsia" w:ascii="宋体" w:hAnsi="宋体" w:cs="宋体"/>
                <w:lang w:eastAsia="zh-CN"/>
              </w:rPr>
              <w:t xml:space="preserve">。</w:t>
            </w:r>
            <w:r/>
          </w:p>
          <w:p>
            <w:pPr>
              <w:jc w:val="left"/>
              <w:spacing w:line="400" w:lineRule="exact"/>
              <w:widowControl/>
              <w:rPr>
                <w:rFonts w:hint="eastAsia" w:eastAsia="宋体"/>
                <w:lang w:eastAsia="zh-CN"/>
              </w:rPr>
            </w:pPr>
            <w:r>
              <w:rPr>
                <w:rFonts w:hint="eastAsia" w:ascii="宋体" w:hAnsi="宋体" w:cs="宋体"/>
                <w:lang w:bidi="ar"/>
              </w:rPr>
              <w:t xml:space="preserve">★12.所投产品具有无线电发射设备型号核准证（SRRC认证），提供证书扫描件。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室外无线AP</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宋体" w:hAnsi="宋体" w:eastAsia="宋体" w:cs="宋体"/>
                <w:lang w:eastAsia="zh-CN"/>
              </w:rPr>
            </w:pPr>
            <w:r>
              <w:rPr>
                <w:rFonts w:hint="eastAsia" w:ascii="宋体" w:hAnsi="宋体" w:cs="宋体"/>
                <w:lang w:bidi="ar"/>
              </w:rPr>
              <w:t xml:space="preserve">★1.协议标准：同时支持802.11a/b/g/n/ac/ac wave2/ax协议标准，内置定向天线；</w:t>
            </w:r>
            <w:r>
              <w:rPr>
                <w:rFonts w:hint="eastAsia" w:ascii="宋体" w:hAnsi="宋体" w:cs="宋体"/>
              </w:rPr>
              <w:t xml:space="preserve">提供原厂白皮书或者产品画册或者（产品官网链接和截图）或者第三方检测机构出具的检测报告扫描件。</w:t>
            </w:r>
            <w:r>
              <w:rPr>
                <w:rFonts w:hint="eastAsia" w:ascii="宋体" w:hAnsi="宋体" w:cs="宋体"/>
                <w:lang w:bidi="ar"/>
              </w:rPr>
              <w:br/>
            </w:r>
            <w:r>
              <w:rPr>
                <w:rFonts w:hint="eastAsia" w:ascii="宋体" w:hAnsi="宋体" w:cs="宋体"/>
                <w:lang w:bidi="ar"/>
              </w:rPr>
              <w:t xml:space="preserve">2. 安装方式：支持壁挂、吸顶等多种安装方式</w:t>
            </w:r>
            <w:r>
              <w:rPr>
                <w:rFonts w:hint="eastAsia" w:ascii="宋体" w:hAnsi="宋体" w:cs="宋体"/>
                <w:lang w:eastAsia="zh-CN" w:bidi="ar"/>
              </w:rPr>
              <w:t xml:space="preserve">。</w:t>
            </w:r>
            <w:r>
              <w:rPr>
                <w:rFonts w:hint="eastAsia" w:ascii="宋体" w:hAnsi="宋体" w:cs="宋体"/>
                <w:lang w:bidi="ar"/>
              </w:rPr>
              <w:br/>
            </w:r>
            <w:r>
              <w:rPr>
                <w:rFonts w:hint="eastAsia" w:ascii="宋体" w:hAnsi="宋体" w:cs="宋体"/>
                <w:lang w:bidi="ar"/>
              </w:rPr>
              <w:t xml:space="preserve">★3. 射频：所有射频都支持MU-MIMO，≥4空间流，整机最大速率≥1.775Gbps；</w:t>
            </w:r>
            <w:r>
              <w:rPr>
                <w:rFonts w:hint="eastAsia" w:ascii="宋体" w:hAnsi="宋体" w:cs="宋体"/>
              </w:rPr>
              <w:t xml:space="preserve">提供原厂白皮书或者产品画册或者（产品官网链接和截图）或者第三方检测机构出具的检测报告扫描件。</w:t>
            </w:r>
            <w:r>
              <w:rPr>
                <w:rFonts w:hint="eastAsia" w:ascii="宋体" w:hAnsi="宋体" w:cs="宋体"/>
                <w:lang w:bidi="ar"/>
              </w:rPr>
              <w:br/>
            </w:r>
            <w:r>
              <w:rPr>
                <w:rFonts w:hint="eastAsia" w:ascii="宋体" w:hAnsi="宋体" w:cs="宋体"/>
                <w:b/>
                <w:bCs/>
                <w:color w:val="auto"/>
                <w:lang w:bidi="ar"/>
              </w:rPr>
              <w:t xml:space="preserve">4. 接口：1个GE电接口，1个SFP光接口</w:t>
            </w:r>
            <w:r>
              <w:rPr>
                <w:rFonts w:hint="eastAsia" w:ascii="宋体" w:hAnsi="宋体" w:cs="宋体"/>
                <w:b/>
                <w:bCs/>
                <w:color w:val="auto"/>
                <w:lang w:eastAsia="zh-CN" w:bidi="ar"/>
              </w:rPr>
              <w:t xml:space="preserve">。</w:t>
            </w:r>
            <w:r>
              <w:rPr>
                <w:rFonts w:hint="eastAsia" w:ascii="宋体" w:hAnsi="宋体" w:cs="宋体"/>
                <w:lang w:bidi="ar"/>
              </w:rPr>
              <w:br/>
            </w:r>
            <w:r>
              <w:rPr>
                <w:rFonts w:hint="eastAsia" w:ascii="宋体" w:hAnsi="宋体" w:cs="宋体"/>
                <w:lang w:bidi="ar"/>
              </w:rPr>
              <w:t xml:space="preserve">5.天线：内置定向天线，可有效提升覆盖范围</w:t>
            </w:r>
            <w:r>
              <w:rPr>
                <w:rFonts w:hint="eastAsia" w:ascii="宋体" w:hAnsi="宋体" w:cs="宋体"/>
                <w:lang w:eastAsia="zh-CN" w:bidi="ar"/>
              </w:rPr>
              <w:t xml:space="preserve">。</w:t>
            </w:r>
            <w:r>
              <w:rPr>
                <w:rFonts w:hint="eastAsia" w:ascii="宋体" w:hAnsi="宋体" w:cs="宋体"/>
                <w:lang w:bidi="ar"/>
              </w:rPr>
              <w:br/>
            </w:r>
            <w:r>
              <w:rPr>
                <w:rFonts w:hint="eastAsia" w:ascii="宋体" w:hAnsi="宋体" w:cs="宋体"/>
                <w:lang w:bidi="ar"/>
              </w:rPr>
              <w:t xml:space="preserve">6.内置功能模块,可实现免接线串口运维</w:t>
            </w:r>
            <w:r>
              <w:rPr>
                <w:rFonts w:hint="eastAsia" w:ascii="宋体" w:hAnsi="宋体" w:cs="宋体"/>
                <w:lang w:eastAsia="zh-CN" w:bidi="ar"/>
              </w:rPr>
              <w:t xml:space="preserve">。</w:t>
            </w:r>
            <w:r>
              <w:rPr>
                <w:rFonts w:hint="eastAsia" w:ascii="宋体" w:hAnsi="宋体" w:cs="宋体"/>
                <w:lang w:bidi="ar"/>
              </w:rPr>
              <w:br/>
            </w:r>
            <w:r>
              <w:rPr>
                <w:rFonts w:hint="eastAsia" w:ascii="宋体" w:hAnsi="宋体" w:cs="宋体"/>
                <w:lang w:bidi="ar"/>
              </w:rPr>
              <w:t xml:space="preserve">7.发射功率≥20dBm，支持按1dB步长调整发射功率</w:t>
            </w:r>
            <w:r>
              <w:rPr>
                <w:rFonts w:hint="eastAsia" w:ascii="宋体" w:hAnsi="宋体" w:cs="宋体"/>
                <w:lang w:eastAsia="zh-CN" w:bidi="ar"/>
              </w:rPr>
              <w:t xml:space="preserve">。</w:t>
            </w:r>
            <w:r>
              <w:rPr>
                <w:rFonts w:hint="eastAsia" w:ascii="宋体" w:hAnsi="宋体" w:cs="宋体"/>
                <w:lang w:bidi="ar"/>
              </w:rPr>
              <w:br/>
            </w:r>
            <w:r>
              <w:rPr>
                <w:rFonts w:hint="eastAsia" w:ascii="宋体" w:hAnsi="宋体" w:cs="宋体"/>
                <w:lang w:bidi="ar"/>
              </w:rPr>
              <w:t xml:space="preserve">8.支持MAC认证、Portal认证、802.1X认证、WAPI认证、PSK认证模式 ，并可支持MAC + Portal混合认证</w:t>
            </w:r>
            <w:r>
              <w:rPr>
                <w:rFonts w:hint="eastAsia" w:ascii="宋体" w:hAnsi="宋体" w:cs="宋体"/>
                <w:lang w:eastAsia="zh-CN" w:bidi="ar"/>
              </w:rPr>
              <w:t xml:space="preserve">。</w:t>
            </w:r>
            <w:r>
              <w:rPr>
                <w:rFonts w:hint="eastAsia" w:ascii="宋体" w:hAnsi="宋体" w:cs="宋体"/>
                <w:lang w:bidi="ar"/>
              </w:rPr>
              <w:br/>
            </w:r>
            <w:r>
              <w:rPr>
                <w:rFonts w:hint="eastAsia" w:ascii="宋体" w:hAnsi="宋体" w:cs="宋体"/>
                <w:lang w:bidi="ar"/>
              </w:rPr>
              <w:t xml:space="preserve">9.供电：支持本地DC电源供电和PoE供电两种供电模式</w:t>
            </w:r>
            <w:r>
              <w:rPr>
                <w:rFonts w:hint="eastAsia" w:ascii="宋体" w:hAnsi="宋体" w:cs="宋体"/>
                <w:lang w:eastAsia="zh-CN" w:bidi="ar"/>
              </w:rPr>
              <w:t xml:space="preserve">。</w:t>
            </w:r>
            <w:r>
              <w:rPr>
                <w:rFonts w:hint="eastAsia" w:ascii="宋体" w:hAnsi="宋体" w:cs="宋体"/>
                <w:lang w:bidi="ar"/>
              </w:rPr>
              <w:br/>
            </w:r>
            <w:r>
              <w:rPr>
                <w:rFonts w:hint="eastAsia" w:ascii="宋体" w:hAnsi="宋体" w:cs="宋体"/>
                <w:lang w:bidi="ar"/>
              </w:rPr>
              <w:t xml:space="preserve">10.为适应恶劣天气及超强工作时间下带来的故障风险，要求高密设备工作温度满足：≥[-40℃～+65℃], 支持IP68防水防尘和防雷电能力</w:t>
            </w:r>
            <w:r>
              <w:rPr>
                <w:rFonts w:hint="eastAsia" w:ascii="宋体" w:hAnsi="宋体" w:cs="宋体"/>
                <w:lang w:eastAsia="zh-CN" w:bidi="ar"/>
              </w:rPr>
              <w:t xml:space="preserve">。</w:t>
            </w:r>
            <w:r>
              <w:rPr>
                <w:rFonts w:hint="eastAsia" w:ascii="宋体" w:hAnsi="宋体" w:cs="宋体"/>
                <w:lang w:bidi="ar"/>
              </w:rPr>
              <w:t xml:space="preserve"> </w:t>
            </w:r>
            <w:r>
              <w:rPr>
                <w:rFonts w:hint="eastAsia" w:ascii="宋体" w:hAnsi="宋体" w:cs="宋体"/>
                <w:lang w:bidi="ar"/>
              </w:rPr>
              <w:br/>
            </w:r>
            <w:r>
              <w:rPr>
                <w:rFonts w:hint="eastAsia" w:ascii="宋体" w:hAnsi="宋体" w:cs="宋体"/>
              </w:rPr>
              <w:t xml:space="preserve">11.支持AP本地转发（又称直接转发），提供官网截图或其他证明材料扫描件</w:t>
            </w:r>
            <w:r>
              <w:rPr>
                <w:rFonts w:hint="eastAsia" w:ascii="宋体" w:hAnsi="宋体" w:cs="宋体"/>
                <w:lang w:eastAsia="zh-CN"/>
              </w:rPr>
              <w:t xml:space="preserve">。</w:t>
            </w:r>
            <w:r/>
          </w:p>
          <w:p>
            <w:pPr>
              <w:jc w:val="left"/>
              <w:spacing w:line="400" w:lineRule="exact"/>
              <w:widowControl/>
              <w:rPr>
                <w:rFonts w:hint="eastAsia" w:eastAsia="宋体"/>
                <w:lang w:eastAsia="zh-CN"/>
              </w:rPr>
            </w:pPr>
            <w:r>
              <w:rPr>
                <w:rFonts w:hint="eastAsia" w:ascii="宋体" w:hAnsi="宋体" w:cs="宋体"/>
                <w:lang w:bidi="ar"/>
              </w:rPr>
              <w:t xml:space="preserve">★12.所投产品具有无线电发射设备型号核准证（SRRC认证），提供证书扫描件。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接入设备</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left"/>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8电口千兆交换机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宋体" w:hAnsi="宋体" w:cs="宋体"/>
                <w:color w:val="auto"/>
                <w:lang w:bidi="ar"/>
              </w:rPr>
            </w:pPr>
            <w:r>
              <w:rPr>
                <w:rFonts w:hint="eastAsia" w:ascii="宋体" w:hAnsi="宋体" w:cs="宋体"/>
                <w:color w:val="auto"/>
                <w:lang w:bidi="ar"/>
              </w:rPr>
              <w:t xml:space="preserve">★1.交换能力≥335Gbps ，包转发速率≥25Mpps，≥8个千兆电口，≥2个千兆光口。</w:t>
            </w:r>
            <w:r>
              <w:rPr>
                <w:rFonts w:hint="eastAsia" w:ascii="宋体" w:hAnsi="宋体" w:cs="宋体"/>
                <w:color w:val="auto"/>
              </w:rPr>
              <w:t xml:space="preserve">提供原厂白皮书或者产品画册或者（产品官网链接和截图）或者第三方检测机构出具的检测报告扫描件。</w:t>
            </w:r>
            <w:r/>
          </w:p>
          <w:p>
            <w:pPr>
              <w:jc w:val="left"/>
              <w:spacing w:line="400" w:lineRule="exact"/>
              <w:rPr>
                <w:rFonts w:hint="eastAsia" w:ascii="宋体" w:hAnsi="宋体" w:cs="宋体"/>
                <w:color w:val="auto"/>
                <w:lang w:bidi="ar"/>
              </w:rPr>
            </w:pPr>
            <w:r>
              <w:rPr>
                <w:rFonts w:hint="eastAsia" w:ascii="宋体" w:hAnsi="宋体" w:cs="宋体"/>
                <w:color w:val="auto"/>
                <w:lang w:bidi="ar"/>
              </w:rPr>
              <w:t xml:space="preserve">2.支持IPv4静态路由、RIP V1/V2、OSPF，支持IPv6静态路由、RIPng，支持 IPv4 和 IPv6 的三层路由和组播功能。</w:t>
            </w:r>
            <w:r/>
          </w:p>
          <w:p>
            <w:pPr>
              <w:jc w:val="left"/>
              <w:spacing w:line="400" w:lineRule="exact"/>
              <w:rPr>
                <w:rFonts w:hint="eastAsia" w:ascii="宋体" w:hAnsi="宋体" w:cs="宋体"/>
                <w:color w:val="auto"/>
                <w:lang w:bidi="ar"/>
              </w:rPr>
            </w:pPr>
            <w:r>
              <w:rPr>
                <w:rFonts w:hint="eastAsia" w:ascii="宋体" w:hAnsi="宋体" w:cs="宋体"/>
                <w:color w:val="auto"/>
                <w:lang w:bidi="ar"/>
              </w:rPr>
              <w:t xml:space="preserve">3.支持多台交换机堆叠。</w:t>
            </w:r>
            <w:r/>
          </w:p>
          <w:p>
            <w:pPr>
              <w:jc w:val="left"/>
              <w:spacing w:line="400" w:lineRule="exact"/>
              <w:rPr>
                <w:rFonts w:hint="eastAsia" w:ascii="宋体" w:hAnsi="宋体" w:cs="宋体"/>
                <w:color w:val="auto"/>
                <w:lang w:bidi="ar"/>
              </w:rPr>
            </w:pPr>
            <w:r>
              <w:rPr>
                <w:rFonts w:hint="eastAsia" w:ascii="宋体" w:hAnsi="宋体" w:cs="宋体"/>
                <w:color w:val="auto"/>
                <w:lang w:bidi="ar"/>
              </w:rPr>
              <w:t xml:space="preserve">4.支持基于端口的VLAN，支持基于协议的VLAN；支持基于MAC的VLAN。</w:t>
            </w:r>
            <w:r/>
          </w:p>
          <w:p>
            <w:pPr>
              <w:jc w:val="left"/>
              <w:spacing w:line="400" w:lineRule="exact"/>
              <w:rPr>
                <w:rFonts w:hint="eastAsia" w:ascii="宋体" w:hAnsi="宋体" w:cs="宋体"/>
                <w:color w:val="auto"/>
                <w:lang w:bidi="ar"/>
              </w:rPr>
            </w:pPr>
            <w:r>
              <w:rPr>
                <w:rFonts w:hint="eastAsia" w:ascii="宋体" w:hAnsi="宋体" w:cs="宋体"/>
                <w:color w:val="auto"/>
                <w:lang w:bidi="ar"/>
              </w:rPr>
              <w:t xml:space="preserve">5.支持最多8个端口聚合；支持LACP。</w:t>
            </w:r>
            <w:r/>
          </w:p>
          <w:p>
            <w:pPr>
              <w:jc w:val="left"/>
              <w:spacing w:line="400" w:lineRule="exact"/>
              <w:rPr>
                <w:rFonts w:hint="eastAsia" w:ascii="宋体" w:hAnsi="宋体" w:cs="宋体"/>
                <w:color w:val="auto"/>
                <w:lang w:bidi="ar"/>
              </w:rPr>
            </w:pPr>
            <w:r>
              <w:rPr>
                <w:rFonts w:hint="eastAsia" w:ascii="宋体" w:hAnsi="宋体" w:cs="宋体"/>
                <w:color w:val="auto"/>
                <w:lang w:bidi="ar"/>
              </w:rPr>
              <w:t xml:space="preserve">6.实现CPU保护功能，能限制非法报文对CPU的攻击，保护交换机在各种环境下稳定工作。</w:t>
            </w:r>
            <w:r/>
          </w:p>
          <w:p>
            <w:pPr>
              <w:jc w:val="left"/>
              <w:spacing w:line="400" w:lineRule="exact"/>
              <w:rPr>
                <w:rFonts w:hint="eastAsia" w:ascii="宋体" w:hAnsi="宋体" w:cs="宋体"/>
                <w:color w:val="auto"/>
                <w:lang w:bidi="ar"/>
              </w:rPr>
            </w:pPr>
            <w:r>
              <w:rPr>
                <w:rFonts w:hint="eastAsia" w:ascii="宋体" w:hAnsi="宋体" w:cs="宋体"/>
                <w:color w:val="auto"/>
                <w:lang w:bidi="ar"/>
              </w:rPr>
              <w:t xml:space="preserve">7.要求所投产品支持防雷等级≥8KV。</w:t>
            </w:r>
            <w:r/>
          </w:p>
          <w:p>
            <w:pPr>
              <w:jc w:val="left"/>
              <w:spacing w:line="400" w:lineRule="exact"/>
              <w:widowControl/>
              <w:rPr>
                <w:rFonts w:hint="eastAsia" w:ascii="宋体" w:hAnsi="宋体" w:cs="宋体"/>
                <w:color w:val="auto"/>
                <w:lang w:bidi="ar"/>
              </w:rPr>
            </w:pPr>
            <w:r>
              <w:rPr>
                <w:rFonts w:hint="eastAsia" w:ascii="宋体" w:hAnsi="宋体" w:cs="宋体"/>
                <w:color w:val="auto"/>
                <w:lang w:bidi="ar"/>
              </w:rPr>
              <w:t xml:space="preserve">8.支持MAC地址≥16K，ARP表项≥1K，IPv4 FIB表项≥1K。</w:t>
            </w:r>
            <w:r>
              <w:rPr>
                <w:rFonts w:hint="eastAsia" w:ascii="宋体" w:hAnsi="宋体" w:cs="宋体"/>
                <w:color w:val="auto"/>
              </w:rPr>
              <w:t xml:space="preserve">提供原厂白皮书或者产品画册或者（产品官网链接和截图）或者第三方检测机构出具的检测报告扫描件。</w:t>
            </w:r>
            <w:r/>
          </w:p>
          <w:p>
            <w:pPr>
              <w:jc w:val="left"/>
              <w:spacing w:line="400" w:lineRule="exact"/>
              <w:rPr>
                <w:rFonts w:hint="eastAsia" w:ascii="宋体" w:hAnsi="宋体" w:cs="宋体"/>
                <w:color w:val="auto"/>
                <w:lang w:bidi="ar"/>
              </w:rPr>
            </w:pPr>
            <w:r>
              <w:rPr>
                <w:rFonts w:hint="eastAsia" w:ascii="宋体" w:hAnsi="宋体" w:cs="宋体"/>
                <w:color w:val="auto"/>
                <w:lang w:bidi="ar"/>
              </w:rPr>
              <w:t xml:space="preserve">9.支持RIP、RIPng、OSPF、OSPFv3路由协议。</w:t>
            </w:r>
            <w:r/>
          </w:p>
          <w:p>
            <w:pPr>
              <w:jc w:val="left"/>
              <w:spacing w:line="400" w:lineRule="exact"/>
              <w:rPr>
                <w:rFonts w:hint="eastAsia" w:ascii="宋体" w:hAnsi="宋体" w:cs="宋体"/>
                <w:color w:val="auto"/>
                <w:lang w:bidi="ar"/>
              </w:rPr>
            </w:pPr>
            <w:r>
              <w:rPr>
                <w:rFonts w:hint="eastAsia" w:ascii="宋体" w:hAnsi="宋体" w:cs="宋体"/>
                <w:color w:val="auto"/>
                <w:lang w:bidi="ar"/>
              </w:rPr>
              <w:t xml:space="preserve">10.支持 ERPS 以太环保护协议（G.8032）。</w:t>
            </w:r>
            <w:r/>
          </w:p>
          <w:p>
            <w:pPr>
              <w:jc w:val="left"/>
              <w:spacing w:line="400" w:lineRule="exact"/>
              <w:rPr>
                <w:rFonts w:hint="eastAsia" w:ascii="宋体" w:hAnsi="宋体" w:cs="宋体"/>
                <w:color w:val="auto"/>
                <w:lang w:bidi="ar"/>
              </w:rPr>
            </w:pPr>
            <w:r>
              <w:rPr>
                <w:rFonts w:hint="eastAsia" w:ascii="宋体" w:hAnsi="宋体" w:cs="宋体"/>
                <w:color w:val="auto"/>
                <w:lang w:bidi="ar"/>
              </w:rPr>
              <w:t xml:space="preserve">11.支持纵向虚拟化，作为纵向子节点零配置即插即用。</w:t>
            </w:r>
            <w:r/>
          </w:p>
          <w:p>
            <w:pPr>
              <w:jc w:val="left"/>
              <w:spacing w:line="400" w:lineRule="exact"/>
              <w:widowControl/>
              <w:rPr>
                <w:rFonts w:hint="eastAsia" w:eastAsia="宋体"/>
                <w:color w:val="auto"/>
                <w:lang w:eastAsia="zh-CN"/>
              </w:rPr>
            </w:pPr>
            <w:r>
              <w:rPr>
                <w:rFonts w:hint="eastAsia" w:ascii="宋体" w:hAnsi="宋体" w:cs="宋体"/>
                <w:color w:val="auto"/>
              </w:rPr>
              <w:t xml:space="preserve">★12.所投产品具备工业和信息化部颁发的进网许可证（CTA认证），提供证书扫描件和工信部网站查询的进网许可截图。</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24口千兆接入交换机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一、端口与性能</w:t>
            </w:r>
            <w:r>
              <w:rPr>
                <w:rFonts w:hint="eastAsia" w:asciiTheme="minorEastAsia" w:hAnsiTheme="minorEastAsia" w:eastAsiaTheme="minorEastAsia" w:cstheme="minorEastAsia"/>
                <w:b/>
                <w:bCs/>
                <w:color w:val="000000"/>
                <w:sz w:val="21"/>
                <w:szCs w:val="21"/>
                <w:lang w:bidi="ar"/>
              </w:rPr>
              <w:t xml:space="preserve">（</w:t>
            </w:r>
            <w:r>
              <w:rPr>
                <w:rFonts w:hint="eastAsia" w:asciiTheme="minorEastAsia" w:hAnsiTheme="minorEastAsia" w:eastAsiaTheme="minorEastAsia" w:cstheme="minorEastAsia"/>
                <w:b/>
                <w:bCs/>
                <w:sz w:val="21"/>
                <w:szCs w:val="21"/>
              </w:rPr>
              <w:t xml:space="preserve">提供原厂公开技术文档（白皮书、彩页、官网规格页截图及链接地址均可）</w:t>
            </w:r>
            <w:r>
              <w:rPr>
                <w:rFonts w:hint="eastAsia" w:asciiTheme="minorEastAsia" w:hAnsiTheme="minorEastAsia" w:eastAsiaTheme="minorEastAsia" w:cstheme="minorEastAsia"/>
                <w:b/>
                <w:bCs/>
                <w:color w:val="000000"/>
                <w:sz w:val="21"/>
                <w:szCs w:val="21"/>
                <w:lang w:bidi="ar"/>
              </w:rPr>
              <w:t xml:space="preserve">）</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★1. 端口配置：</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提供 ≥ 24 个 10/100/1000M 自适应以太网电口（RJ45）；</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提供 ≥ 4 个 光接口，支持 1G/2.5G/10G SFP/SFP+（Combo口或独立光口均可）。</w:t>
            </w:r>
            <w:r/>
          </w:p>
          <w:p>
            <w:pPr>
              <w:pStyle w:val="736"/>
              <w:ind w:firstLine="0"/>
              <w:spacing w:line="360" w:lineRule="exact"/>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color w:val="000000"/>
                <w:sz w:val="21"/>
                <w:szCs w:val="21"/>
                <w:lang w:bidi="ar"/>
              </w:rPr>
              <w:t xml:space="preserve">★</w:t>
            </w:r>
            <w:r>
              <w:rPr>
                <w:rFonts w:hint="eastAsia" w:asciiTheme="minorEastAsia" w:hAnsiTheme="minorEastAsia" w:eastAsiaTheme="minorEastAsia" w:cstheme="minorEastAsia"/>
                <w:sz w:val="21"/>
                <w:szCs w:val="21"/>
                <w:lang w:bidi="ar"/>
              </w:rPr>
              <w:t xml:space="preserve">2. 交换性能：整机交换容量 ≥ 600 Gbps；整机包转发率 ≥ 120 Mpps。</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二、三层路由与IPv6支持</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3. 路由协议：支持以下IPv4/IPv6路由功能：静态路由；RIPv1/v2、RIPng；OSPFv2、OSPFv3；支持IPv4/IPv6双栈及组播转发。</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三、高可用与环网保护</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4. 生成树与堆叠：支持 IEEE 802.1D（STP）、802.1w（RSTP）、802.1s（MSTP），具备快速收敛能力；支持多台设备虚拟化堆叠（物理或逻辑），统一管理。</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5. 以太环网保护：支持 ITU-T G.8032（ERPS）以太环网保护协议。</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6. 链路与环路检测：支持标准链路连通性检测机制（如 IEEE 802.1ag CFM、Y.1731 或等效技术），可识别光纤单向故障；支持端口级环路检测，当检测到私接Hub/交换机形成环路时，可自动阻断端口或告警。</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四、VLAN与ACL策略</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7. VLAN划分：支持基于端口、MAC地址、协议类型的VLAN。</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8. 访问控制（ACL）：支持基于L2/L3/L4的ACL；支持基于端口和VLAN的ACL；支持出方向（Egress）ACL，实现灵活数据包过滤。</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五、安全防护能力</w:t>
            </w:r>
            <w:r/>
          </w:p>
          <w:p>
            <w:pPr>
              <w:pStyle w:val="736"/>
              <w:ind w:firstLine="0"/>
              <w:jc w:val="left"/>
              <w:spacing w:line="360" w:lineRule="exact"/>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9. 设备抗攻击：具备CPU保护机制，限制非法报文（如泛洪、畸形包）对主控CPU的冲击。</w:t>
            </w:r>
            <w:r/>
          </w:p>
          <w:p>
            <w:pPr>
              <w:pStyle w:val="736"/>
              <w:ind w:firstLine="0"/>
              <w:jc w:val="left"/>
              <w:spacing w:line="360" w:lineRule="exact"/>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支持ARP网关欺骗防御（如DAI、ARP Check）；支持ICMP泛洪、SYN Flood等DoS攻击防护。</w:t>
            </w:r>
            <w:r/>
          </w:p>
          <w:p>
            <w:pPr>
              <w:pStyle w:val="736"/>
              <w:ind w:firstLine="0"/>
              <w:jc w:val="left"/>
              <w:spacing w:line="360" w:lineRule="exact"/>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10. 表项容量：MAC地址表 ≥ 16K；ARP表项 ≥ 1K；IPv4 FIB表项 ≥ 1K。</w:t>
            </w:r>
            <w:r>
              <w:rPr>
                <w:rFonts w:hint="eastAsia" w:asciiTheme="minorEastAsia" w:hAnsiTheme="minorEastAsia" w:eastAsiaTheme="minorEastAsia" w:cstheme="minorEastAsia"/>
                <w:b/>
                <w:bCs/>
                <w:sz w:val="21"/>
                <w:szCs w:val="21"/>
              </w:rPr>
              <w:t xml:space="preserve">提供原厂公开技术文档（白皮书、彩页、官网规格页截图及链接地址均可）</w:t>
            </w:r>
            <w:r>
              <w:rPr>
                <w:rFonts w:hint="eastAsia" w:asciiTheme="minorEastAsia" w:hAnsiTheme="minorEastAsia" w:eastAsiaTheme="minorEastAsia" w:cstheme="minorEastAsia"/>
                <w:b/>
                <w:bCs/>
                <w:sz w:val="21"/>
                <w:szCs w:val="21"/>
                <w:lang w:bidi="ar"/>
              </w:rPr>
              <w:t xml:space="preserve">。</w:t>
            </w:r>
            <w:r/>
          </w:p>
          <w:p>
            <w:pPr>
              <w:pStyle w:val="736"/>
              <w:ind w:firstLine="0"/>
              <w:jc w:val="left"/>
              <w:spacing w:line="360" w:lineRule="exact"/>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六、可靠性与环境适应性</w:t>
            </w:r>
            <w:r/>
          </w:p>
          <w:p>
            <w:pPr>
              <w:pStyle w:val="736"/>
              <w:ind w:firstLine="0"/>
              <w:jc w:val="left"/>
              <w:spacing w:line="360" w:lineRule="exact"/>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11. 防雷能力：所有业务电口具备 ≥ 8 kV（线-地）浪涌抗扰度，符合 IEC 61000-4-5 或 GB/T 17626.5 标准。</w:t>
            </w:r>
            <w:r/>
          </w:p>
          <w:p>
            <w:pPr>
              <w:pStyle w:val="736"/>
              <w:ind w:firstLine="0"/>
              <w:jc w:val="left"/>
              <w:spacing w:line="360" w:lineRule="exact"/>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12. 节能环保：支持 IEEE 802.3az（EEE）高效节能以太网，在端口空闲时自动进入低功耗模式，有流量时快速恢复。</w:t>
            </w:r>
            <w:r/>
          </w:p>
          <w:p>
            <w:pPr>
              <w:pStyle w:val="736"/>
              <w:ind w:firstLine="0"/>
              <w:jc w:val="left"/>
              <w:spacing w:line="360" w:lineRule="exact"/>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七、管理与运维</w:t>
            </w:r>
            <w:r/>
          </w:p>
          <w:p>
            <w:pPr>
              <w:pStyle w:val="736"/>
              <w:ind w:firstLine="0"/>
              <w:jc w:val="left"/>
              <w:spacing w:line="360" w:lineRule="exact"/>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13. 管理接口：支持 SNMP v1/v2c/v3、CLI（Console/Telnet/SSH）、Web GUI、Syslog、NTP、TFTP/FTP/SFTP 等标准管理协议。</w:t>
            </w:r>
            <w:r/>
          </w:p>
          <w:p>
            <w:pPr>
              <w:pStyle w:val="736"/>
              <w:ind w:firstLine="0"/>
              <w:jc w:val="left"/>
              <w:spacing w:line="360" w:lineRule="exact"/>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八、合规与强制认证</w:t>
            </w:r>
            <w:r/>
          </w:p>
          <w:p>
            <w:pPr>
              <w:jc w:val="left"/>
              <w:spacing w:line="400" w:lineRule="exact"/>
              <w:widowControl/>
              <w:rPr>
                <w:rFonts w:hint="eastAsia" w:eastAsia="宋体"/>
                <w:lang w:eastAsia="zh-CN"/>
              </w:rPr>
            </w:pPr>
            <w:r>
              <w:rPr>
                <w:rFonts w:hint="eastAsia" w:asciiTheme="minorEastAsia" w:hAnsiTheme="minorEastAsia" w:eastAsiaTheme="minorEastAsia" w:cstheme="minorEastAsia"/>
                <w:lang w:bidi="ar"/>
              </w:rPr>
              <w:t xml:space="preserve">★14. 电信设备进网许可（CTA）：所投产品必须具备工业和信息化部核发的有效《电信设备进网许可证》。投标时须提供：进网许可证清晰扫描件；工信部官网查询结果截图，显示设备型号、生产企业、许可证编号及状态为“有效”。</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24电口千兆POE交换机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360" w:lineRule="exact"/>
              <w:widowControl/>
              <w:rPr>
                <w:rFonts w:hint="eastAsia" w:asciiTheme="minorEastAsia" w:hAnsiTheme="minorEastAsia" w:eastAsiaTheme="minorEastAsia" w:cstheme="minorEastAsia"/>
                <w:b/>
                <w:bCs/>
                <w:color w:val="000000"/>
              </w:rPr>
            </w:pPr>
            <w:r>
              <w:rPr>
                <w:rFonts w:hint="eastAsia" w:asciiTheme="minorEastAsia" w:hAnsiTheme="minorEastAsia" w:eastAsiaTheme="minorEastAsia" w:cstheme="minorEastAsia"/>
                <w:color w:val="000000"/>
              </w:rPr>
              <w:t xml:space="preserve">一、端口与性能</w:t>
            </w:r>
            <w:r>
              <w:rPr>
                <w:rFonts w:hint="eastAsia" w:asciiTheme="minorEastAsia" w:hAnsiTheme="minorEastAsia" w:eastAsiaTheme="minorEastAsia" w:cstheme="minorEastAsia"/>
                <w:b/>
                <w:bCs/>
                <w:color w:val="000000"/>
              </w:rPr>
              <w:t xml:space="preserve">（</w:t>
            </w:r>
            <w:r>
              <w:rPr>
                <w:rFonts w:hint="eastAsia" w:asciiTheme="minorEastAsia" w:hAnsiTheme="minorEastAsia" w:eastAsiaTheme="minorEastAsia" w:cstheme="minorEastAsia"/>
                <w:b/>
                <w:bCs/>
              </w:rPr>
              <w:t xml:space="preserve">提供原厂公开技术文档（白皮书、彩页、官网规格页截图及链接地址均可）</w:t>
            </w:r>
            <w:r>
              <w:rPr>
                <w:rFonts w:hint="eastAsia" w:asciiTheme="minorEastAsia" w:hAnsiTheme="minorEastAsia" w:eastAsiaTheme="minorEastAsia" w:cstheme="minorEastAsia"/>
                <w:b/>
                <w:bCs/>
                <w:color w:val="000000"/>
              </w:rPr>
              <w:t xml:space="preserve">）</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 端口配置：提供 ≥24 个 10/100/1000M 自适应以太网电口（RJ45），全部支持不低于 IEEE 802.3at（PoE+）；提供 ≥4 个 千兆SFP光口。</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 交换性能：</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整机交换容量 ≥600 Gbps；整机包转发率 ≥ 120 Mpps。</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二、PoE供电能力</w:t>
            </w:r>
            <w:r>
              <w:rPr>
                <w:rFonts w:hint="eastAsia" w:asciiTheme="minorEastAsia" w:hAnsiTheme="minorEastAsia" w:eastAsiaTheme="minorEastAsia" w:cstheme="minorEastAsia"/>
                <w:b/>
                <w:bCs/>
                <w:color w:val="000000"/>
              </w:rPr>
              <w:t xml:space="preserve">（</w:t>
            </w:r>
            <w:r>
              <w:rPr>
                <w:rFonts w:hint="eastAsia" w:asciiTheme="minorEastAsia" w:hAnsiTheme="minorEastAsia" w:eastAsiaTheme="minorEastAsia" w:cstheme="minorEastAsia"/>
                <w:b/>
                <w:bCs/>
              </w:rPr>
              <w:t xml:space="preserve">提供原厂公开技术文档（白皮书、彩页、官网规格页截图及链接地址均可）</w:t>
            </w:r>
            <w:r>
              <w:rPr>
                <w:rFonts w:hint="eastAsia" w:asciiTheme="minorEastAsia" w:hAnsiTheme="minorEastAsia" w:eastAsiaTheme="minorEastAsia" w:cstheme="minorEastAsia"/>
                <w:b/>
                <w:bCs/>
                <w:color w:val="000000"/>
              </w:rPr>
              <w:t xml:space="preserve">）</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 PoE标准与功率：至少支持 IEEE 802.3at（PoE+），同时可POE供电端口≥24个；整机可用PoE功率 ≥ 370W。（实际供电需满足学校使用需求）。</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三、三层路由与IPv6支持</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4. 路由协议：支持以下IPv4/IPv6路由功能：静态路由；RIPv1/v2、RIPng；OSPFv2、OSPFv3；支持IPv4/IPv6双栈及组播转发。</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四、VLAN、堆叠与链路聚合</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5. VLAN划分：支持基于端口、MAC地址、协议类型的VLAN。</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6. 高可用与聚合：支持多台设备虚拟化堆叠（物理或逻辑），实现统一管理；支持静态链路聚合及 LACP（IEEE 802.3ad）动态聚合。</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五、安全与终端管控</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7. 设备抗攻击能力：具备CPU保护机制，限制非法报文（如泛洪、畸形包）对主控CPU的冲击；支持ARP网关欺骗防御（如DAI、ARP Check）；支持ICMP泛洪、SYN Flood等DoS攻击防护策略。</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8. 表项容量：MAC地址表 ≥ 16K；ARP表项 ≥ 4K；IPv4 FIB表项 ≥ 1K。</w:t>
            </w:r>
            <w:r>
              <w:rPr>
                <w:rFonts w:hint="eastAsia" w:asciiTheme="minorEastAsia" w:hAnsiTheme="minorEastAsia" w:eastAsiaTheme="minorEastAsia" w:cstheme="minorEastAsia"/>
                <w:b/>
                <w:bCs/>
              </w:rPr>
              <w:t xml:space="preserve">提供原厂公开技术文档（白皮书、彩页、官网规格页截图及链接地址均可）</w:t>
            </w:r>
            <w:r>
              <w:rPr>
                <w:rFonts w:hint="eastAsia" w:asciiTheme="minorEastAsia" w:hAnsiTheme="minorEastAsia" w:eastAsiaTheme="minorEastAsia" w:cstheme="minorEastAsia"/>
                <w:b/>
                <w:bCs/>
                <w:color w:val="000000"/>
              </w:rPr>
              <w:t xml:space="preserve">。</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六、可靠性与环境适应性</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9. 端口防雷能力：所有业务电口具备 ≥6 kV（线-地）浪涌抗扰度，符合 IEC 61000-4-5 或 GB/T 17626.5 标准。</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10. 节能环保：支持 IEEE 802.3az（EEE）高效节能以太网，在端口空闲时自动进入低功耗模式，有流量时快速恢复。</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七、管理与运维</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11. SDN与认证支持：支持SDN架构（如OpenFlow 1.3或等效开放API）；支持 IEEE 802.1X 端口认证，可对接主流RADIUS认证服务器。</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12. 管理接口：支持 SNMP v1/v2c/v3、CLI（Console/Telnet/SSH）、Web GUI、Syslog、NTP、TFTP/FTP/SFTP 等标准管理协议。</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八、合规与强制认证</w:t>
            </w:r>
            <w:r/>
          </w:p>
          <w:p>
            <w:pPr>
              <w:jc w:val="left"/>
              <w:spacing w:line="400" w:lineRule="exact"/>
              <w:widowControl/>
              <w:rPr>
                <w:rFonts w:hint="eastAsia" w:eastAsia="宋体"/>
                <w:lang w:eastAsia="zh-CN"/>
              </w:rPr>
            </w:pPr>
            <w:r>
              <w:rPr>
                <w:rFonts w:hint="eastAsia" w:asciiTheme="minorEastAsia" w:hAnsiTheme="minorEastAsia" w:eastAsiaTheme="minorEastAsia" w:cstheme="minorEastAsia"/>
                <w:color w:val="000000"/>
              </w:rPr>
              <w:t xml:space="preserve">★13. 电信设备进网许可（CTA）：所投产品必须具备工业和信息化部核发的有效《电信设备进网许可证》。投标时须提供：进网许可证清晰扫描件；工信部官网查询结果截图，显示设备型号、生产企业、许可证编号及状态为“有效”。</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8电口POE千兆交换机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★1.交换容量≥335Gbps，包转发率≥80Mpps，支持千兆电口≥8个，万兆SFP+接口≥2个。提供原厂白皮书或者产品画册或者（产品官网链接和截图）或者第三方检测机构出具的检测报告扫描件。</w:t>
            </w:r>
            <w:r/>
          </w:p>
          <w:p>
            <w:pPr>
              <w:jc w:val="left"/>
              <w:spacing w:line="400" w:lineRule="exact"/>
              <w:widowControl/>
              <w:rPr>
                <w:rFonts w:hint="eastAsia" w:ascii="宋体" w:hAnsi="宋体" w:cs="宋体"/>
                <w:color w:val="auto"/>
                <w:lang w:bidi="ar"/>
              </w:rPr>
            </w:pPr>
            <w:r>
              <w:rPr>
                <w:rFonts w:hint="eastAsia" w:ascii="宋体" w:hAnsi="宋体" w:cs="宋体"/>
                <w:color w:val="auto"/>
                <w:lang w:bidi="ar"/>
              </w:rPr>
              <w:t xml:space="preserve">▲2</w:t>
            </w:r>
            <w:r>
              <w:rPr>
                <w:rFonts w:hint="eastAsia" w:ascii="宋体" w:hAnsi="宋体" w:cs="宋体"/>
                <w:color w:val="auto"/>
              </w:rPr>
              <w:t xml:space="preserve">.支持不低于802.3at POE+功能 ；</w:t>
            </w:r>
            <w:r>
              <w:rPr>
                <w:rFonts w:hint="eastAsia" w:ascii="宋体" w:hAnsi="宋体" w:cs="宋体"/>
                <w:color w:val="auto"/>
                <w:lang w:bidi="ar"/>
              </w:rPr>
              <w:t xml:space="preserve">POE功率≥120W，每个千兆电口最大支持POE输出功率≥30W。</w:t>
            </w:r>
            <w:r>
              <w:rPr>
                <w:rFonts w:hint="eastAsia" w:ascii="宋体" w:hAnsi="宋体" w:cs="宋体"/>
                <w:color w:val="auto"/>
              </w:rPr>
              <w:t xml:space="preserve">提供原厂白皮书或者产品画册或者（产品官网链接和截图）或者第三方检测机构出具的检测报告扫描件。</w:t>
            </w:r>
            <w:r/>
          </w:p>
          <w:p>
            <w:pPr>
              <w:jc w:val="left"/>
              <w:spacing w:line="400" w:lineRule="exact"/>
              <w:widowControl/>
              <w:rPr>
                <w:rFonts w:hint="eastAsia" w:ascii="宋体" w:hAnsi="宋体" w:cs="宋体"/>
                <w:lang w:bidi="ar"/>
              </w:rPr>
            </w:pPr>
            <w:r>
              <w:rPr>
                <w:rFonts w:hint="eastAsia" w:ascii="宋体" w:hAnsi="宋体" w:cs="宋体"/>
                <w:lang w:bidi="ar"/>
              </w:rPr>
              <w:t xml:space="preserve">3.支持静态路由、RIP V1/V2、OSPF、RIPng等，支持 IPv4 和 IPv6 的三层路由和组播功能。</w:t>
            </w:r>
            <w:r/>
          </w:p>
          <w:p>
            <w:pPr>
              <w:jc w:val="left"/>
              <w:spacing w:line="400" w:lineRule="exact"/>
              <w:widowControl/>
              <w:rPr>
                <w:rFonts w:hint="eastAsia" w:ascii="宋体" w:hAnsi="宋体" w:cs="宋体"/>
                <w:lang w:bidi="ar"/>
              </w:rPr>
            </w:pPr>
            <w:r>
              <w:rPr>
                <w:rFonts w:hint="eastAsia" w:ascii="宋体" w:hAnsi="宋体" w:cs="宋体"/>
                <w:lang w:bidi="ar"/>
              </w:rPr>
              <w:t xml:space="preserve">4.支持基于端口的VLAN，支持基于协议的VLAN，支持基于MAC的VLAN。</w:t>
            </w:r>
            <w:r/>
          </w:p>
          <w:p>
            <w:pPr>
              <w:jc w:val="left"/>
              <w:spacing w:line="400" w:lineRule="exact"/>
              <w:widowControl/>
              <w:rPr>
                <w:rFonts w:hint="eastAsia" w:ascii="宋体" w:hAnsi="宋体" w:cs="宋体"/>
                <w:lang w:bidi="ar"/>
              </w:rPr>
            </w:pPr>
            <w:r>
              <w:rPr>
                <w:rFonts w:hint="eastAsia" w:ascii="宋体" w:hAnsi="宋体" w:cs="宋体"/>
                <w:lang w:bidi="ar"/>
              </w:rPr>
              <w:t xml:space="preserve">5.支持多台交换机堆叠，支持端口聚合，支持LACP。</w:t>
            </w:r>
            <w:r/>
          </w:p>
          <w:p>
            <w:pPr>
              <w:jc w:val="left"/>
              <w:spacing w:line="400" w:lineRule="exact"/>
              <w:widowControl/>
              <w:rPr>
                <w:rFonts w:hint="eastAsia" w:ascii="宋体" w:hAnsi="宋体" w:cs="宋体"/>
                <w:lang w:bidi="ar"/>
              </w:rPr>
            </w:pPr>
            <w:r>
              <w:rPr>
                <w:rFonts w:hint="eastAsia" w:ascii="宋体" w:hAnsi="宋体" w:cs="宋体"/>
                <w:lang w:bidi="ar"/>
              </w:rPr>
              <w:t xml:space="preserve">6.实现CPU保护功能，能限制非法报文对CPU的攻击，保护交换机在各种环境下稳定工作。</w:t>
            </w:r>
            <w:r/>
          </w:p>
          <w:p>
            <w:pPr>
              <w:jc w:val="left"/>
              <w:spacing w:line="400" w:lineRule="exact"/>
              <w:widowControl/>
              <w:rPr>
                <w:rFonts w:hint="eastAsia" w:ascii="宋体" w:hAnsi="宋体" w:cs="宋体"/>
                <w:lang w:bidi="ar"/>
              </w:rPr>
            </w:pPr>
            <w:r>
              <w:rPr>
                <w:rFonts w:hint="eastAsia" w:ascii="宋体" w:hAnsi="宋体" w:cs="宋体"/>
                <w:lang w:bidi="ar"/>
              </w:rPr>
              <w:t xml:space="preserve">7.防雷能力：为适应雷雨天气下设备能够正常运转不受影响，</w:t>
            </w:r>
            <w:r>
              <w:rPr>
                <w:rFonts w:hint="eastAsia" w:ascii="宋体" w:hAnsi="宋体" w:cs="宋体"/>
              </w:rPr>
              <w:t xml:space="preserve">≥</w:t>
            </w:r>
            <w:r>
              <w:rPr>
                <w:rFonts w:hint="eastAsia" w:ascii="宋体" w:hAnsi="宋体" w:cs="宋体"/>
                <w:lang w:bidi="ar"/>
              </w:rPr>
              <w:t xml:space="preserve">6KV业务端口防雷能力。</w:t>
            </w:r>
            <w:r>
              <w:rPr>
                <w:rFonts w:hint="eastAsia" w:ascii="宋体" w:hAnsi="宋体" w:cs="宋体"/>
              </w:rPr>
              <w:t xml:space="preserve">提供原厂白皮书或者产品画册或者（产品官网链接和截图）或者第三方检测机构出具的检测报告扫描件。</w:t>
            </w:r>
            <w:r/>
          </w:p>
          <w:p>
            <w:pPr>
              <w:jc w:val="left"/>
              <w:spacing w:line="400" w:lineRule="exact"/>
              <w:widowControl/>
              <w:rPr>
                <w:rFonts w:hint="eastAsia" w:ascii="宋体" w:hAnsi="宋体" w:cs="宋体"/>
                <w:b/>
                <w:bCs/>
                <w:lang w:bidi="ar"/>
              </w:rPr>
            </w:pPr>
            <w:r>
              <w:rPr>
                <w:rFonts w:hint="eastAsia" w:ascii="宋体" w:hAnsi="宋体" w:cs="宋体"/>
              </w:rPr>
              <w:t xml:space="preserve">8.支持MAC地址≥32K，ARP表项≥4K，IPv4 FIB表项≥1K。提供原厂白皮书或者产品画册或者（产品官网链接和截图）或者第三方检测机构出具的检测报告扫描件。</w:t>
            </w:r>
            <w:r/>
          </w:p>
          <w:p>
            <w:pPr>
              <w:jc w:val="left"/>
              <w:spacing w:line="400" w:lineRule="exact"/>
              <w:widowControl/>
              <w:rPr>
                <w:rFonts w:hint="eastAsia" w:ascii="宋体" w:hAnsi="宋体" w:cs="宋体"/>
              </w:rPr>
            </w:pPr>
            <w:r>
              <w:rPr>
                <w:rFonts w:hint="eastAsia" w:ascii="宋体" w:hAnsi="宋体" w:cs="宋体"/>
              </w:rPr>
              <w:t xml:space="preserve">9.</w:t>
            </w:r>
            <w:r>
              <w:rPr>
                <w:rFonts w:hint="eastAsia" w:ascii="宋体" w:hAnsi="宋体" w:cs="宋体"/>
                <w:lang w:bidi="ar"/>
              </w:rPr>
              <w:t xml:space="preserve">支持RIP、RIPng、OSPF、OSPFv3路由协议。</w:t>
            </w:r>
            <w:r/>
          </w:p>
          <w:p>
            <w:pPr>
              <w:jc w:val="left"/>
              <w:spacing w:line="400" w:lineRule="exact"/>
              <w:widowControl/>
              <w:rPr>
                <w:rFonts w:hint="eastAsia" w:ascii="宋体" w:hAnsi="宋体" w:cs="宋体"/>
              </w:rPr>
            </w:pPr>
            <w:r>
              <w:rPr>
                <w:rFonts w:hint="eastAsia" w:ascii="宋体" w:hAnsi="宋体" w:cs="宋体"/>
              </w:rPr>
              <w:t xml:space="preserve">10.支持纵向虚拟化，作为纵向子节点零配置即插即用。</w:t>
            </w:r>
            <w:r/>
          </w:p>
          <w:p>
            <w:pPr>
              <w:jc w:val="left"/>
              <w:spacing w:line="400" w:lineRule="exact"/>
              <w:widowControl/>
              <w:rPr>
                <w:rFonts w:hint="eastAsia" w:eastAsia="宋体"/>
                <w:lang w:eastAsia="zh-CN"/>
              </w:rPr>
            </w:pPr>
            <w:r>
              <w:rPr>
                <w:rFonts w:hint="eastAsia" w:ascii="宋体" w:hAnsi="宋体" w:cs="宋体"/>
              </w:rPr>
              <w:t xml:space="preserve">★11.所投产品具备工业和信息化部颁发的进网许可证（CTA认证），提供证书扫描件和工信部网站查询的进网许可截图。</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光传输</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left"/>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万兆光模块</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eastAsia="宋体"/>
                <w:color w:val="auto"/>
                <w:highlight w:val="none"/>
                <w:lang w:eastAsia="zh-CN"/>
              </w:rPr>
            </w:pPr>
            <w:r>
              <w:rPr>
                <w:rFonts w:hint="eastAsia" w:asciiTheme="minorEastAsia" w:hAnsiTheme="minorEastAsia" w:eastAsiaTheme="minorEastAsia" w:cstheme="minorEastAsia"/>
                <w:color w:val="auto"/>
                <w:highlight w:val="none"/>
                <w:lang w:bidi="ar"/>
              </w:rPr>
              <w:t xml:space="preserve">★光收发一体模块SFP+ 万兆模块(1310nm、10km、LC)，光模块序列号官网可查。</w:t>
            </w:r>
            <w:r>
              <w:rPr>
                <w:rFonts w:hint="eastAsia" w:asciiTheme="minorEastAsia" w:hAnsiTheme="minorEastAsia" w:eastAsiaTheme="minorEastAsia" w:cstheme="minorEastAsia"/>
                <w:b/>
                <w:bCs/>
                <w:color w:val="auto"/>
                <w:highlight w:val="none"/>
                <w:lang w:bidi="ar"/>
              </w:rPr>
              <w:t xml:space="preserve">光模块序列号官网或者400或邮件方式可查,提供官网查询截图（含链接地址）或400电话号码或邮件地址。</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千兆光模块</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eastAsia="宋体"/>
                <w:color w:val="auto"/>
                <w:lang w:eastAsia="zh-CN"/>
              </w:rPr>
            </w:pPr>
            <w:r>
              <w:rPr>
                <w:rFonts w:hint="eastAsia" w:asciiTheme="minorEastAsia" w:hAnsiTheme="minorEastAsia" w:eastAsiaTheme="minorEastAsia" w:cstheme="minorEastAsia"/>
                <w:color w:val="auto"/>
                <w:lang w:bidi="ar"/>
              </w:rPr>
              <w:t xml:space="preserve">★光收发一体模块-SFP（1310nm、LC、10km），光模块序列号官网可查。</w:t>
            </w:r>
            <w:r>
              <w:rPr>
                <w:rFonts w:hint="eastAsia" w:asciiTheme="minorEastAsia" w:hAnsiTheme="minorEastAsia" w:eastAsiaTheme="minorEastAsia" w:cstheme="minorEastAsia"/>
                <w:b/>
                <w:bCs/>
                <w:color w:val="auto"/>
                <w:lang w:bidi="ar"/>
              </w:rPr>
              <w:t xml:space="preserve">光模块序列号官网或者400或邮件方式可查,提供官网查询截图（含链接地址）或400电话号码或邮件地址。</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光纤跳线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spacing w:line="400" w:lineRule="exact"/>
              <w:widowControl/>
              <w:rPr>
                <w:rFonts w:hint="eastAsia" w:ascii="宋体" w:hAnsi="宋体" w:cs="宋体"/>
              </w:rPr>
            </w:pPr>
            <w:r>
              <w:rPr>
                <w:rFonts w:hint="eastAsia" w:ascii="宋体" w:hAnsi="宋体" w:cs="宋体"/>
                <w:lang w:bidi="ar"/>
              </w:rPr>
              <w:t xml:space="preserve">▲</w:t>
            </w:r>
            <w:r>
              <w:rPr>
                <w:rFonts w:hint="eastAsia" w:ascii="宋体" w:hAnsi="宋体" w:cs="宋体"/>
              </w:rPr>
              <w:t xml:space="preserve">1.G.652D单模光纤，双芯，LSZH护套，</w:t>
            </w:r>
            <w:r>
              <w:rPr>
                <w:rFonts w:hint="eastAsia" w:ascii="宋体" w:hAnsi="宋体" w:cs="宋体"/>
                <w:lang w:bidi="ar"/>
              </w:rPr>
              <w:t xml:space="preserve">光缆的</w:t>
            </w:r>
            <w:r>
              <w:rPr>
                <w:rFonts w:hint="eastAsia" w:ascii="宋体" w:hAnsi="宋体" w:cs="宋体"/>
              </w:rPr>
              <w:t xml:space="preserve">光学性能、几何性能、机械性能、环境性能、安全性能等符合YD/T 1272.4-2020、YD/T 2152-2010、GB/T 9771-2020等现行国家或行业标准。</w:t>
            </w:r>
            <w:r>
              <w:rPr>
                <w:rFonts w:hint="eastAsia" w:ascii="宋体" w:hAnsi="宋体" w:cs="宋体"/>
                <w:b/>
                <w:bCs/>
              </w:rPr>
              <w:t xml:space="preserve">提供</w:t>
            </w:r>
            <w:r>
              <w:rPr>
                <w:rFonts w:hint="eastAsia" w:ascii="宋体" w:hAnsi="宋体" w:cs="宋体"/>
                <w:b/>
                <w:bCs/>
                <w:lang w:bidi="ar"/>
              </w:rPr>
              <w:t xml:space="preserve">符合现行国家或行业标准、由第三方检测机构出具的有CMA标志的检测报告。</w:t>
            </w:r>
            <w:r/>
          </w:p>
          <w:p>
            <w:pPr>
              <w:jc w:val="left"/>
              <w:spacing w:line="400" w:lineRule="exact"/>
              <w:rPr>
                <w:rFonts w:hint="eastAsia" w:ascii="宋体" w:hAnsi="宋体" w:cs="宋体"/>
              </w:rPr>
            </w:pPr>
            <w:r>
              <w:rPr>
                <w:rFonts w:hint="eastAsia" w:ascii="宋体" w:hAnsi="宋体" w:cs="宋体"/>
              </w:rPr>
              <w:t xml:space="preserve">2.长度规格≥3米。</w:t>
            </w:r>
            <w:r/>
          </w:p>
          <w:p>
            <w:pPr>
              <w:jc w:val="left"/>
              <w:spacing w:line="400" w:lineRule="exact"/>
              <w:widowControl/>
              <w:rPr>
                <w:rFonts w:hint="eastAsia" w:asciiTheme="minorEastAsia" w:hAnsiTheme="minorEastAsia" w:eastAsiaTheme="minorEastAsia" w:cstheme="minorEastAsia"/>
                <w:color w:val="000000"/>
              </w:rPr>
            </w:pPr>
            <w:r>
              <w:rPr>
                <w:rFonts w:hint="eastAsia" w:ascii="宋体" w:hAnsi="宋体" w:cs="宋体"/>
              </w:rPr>
              <w:t xml:space="preserve">3. 技术规范：回拨损耗：单模＞50dB ； 插入损耗：最大值0.5dB，典型值0.2dB；套管外径：1.25mm；线缆直径：护套光纤：0.9mm，抗拉强度：护套光纤5N，单芯线缆100N，双芯线缆100N；工作温度：-40℃～75℃；使用寿命卡接次数≥1000次。</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三</w:t>
            </w:r>
            <w:r/>
          </w:p>
        </w:tc>
        <w:tc>
          <w:tcPr>
            <w:gridSpan w:val="2"/>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jc w:val="left"/>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网络运维管理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网络管理系统</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pPr>
            <w:r>
              <w:rPr>
                <w:rFonts w:hint="eastAsia" w:asciiTheme="minorEastAsia" w:hAnsiTheme="minorEastAsia" w:eastAsiaTheme="minorEastAsia" w:cstheme="minorEastAsia"/>
                <w:color w:val="000000"/>
                <w:lang w:bidi="ar"/>
              </w:rPr>
              <w:t xml:space="preserve">设备链路综合运维与安全管理</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1.采用B/S架构，客户端无需安装任何插件，可随时随地访问。</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2.实现全校资源的统一监控，支持对主流网络设备（有线、无线）和哑终端的可视化管理。</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3.能实现拓扑自动发现，实时同步展示设备状态、（光）链路状态，实现可视化管理。</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4.能通过MAC地址绑定或白名单配置，实现校内哑终端设备的安全管理。</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5.能实现主动预防，智能故障分析，自动溯源故障路径以及故障根因，提升诊断效率。</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★6.网络设备管理需提供授权不少于1450（有线设备600台、无线设备850台）个，哑终端授权不少于100个。（提供承诺函并加盖供应商公章）</w:t>
            </w:r>
            <w:r>
              <w:rPr>
                <w:rFonts w:hint="eastAsia" w:asciiTheme="minorEastAsia" w:hAnsiTheme="minorEastAsia" w:eastAsiaTheme="minorEastAsia" w:cstheme="minorEastAsia"/>
                <w:color w:val="000000"/>
                <w:lang w:bidi="ar"/>
              </w:rPr>
              <w:br/>
            </w:r>
            <w:r>
              <w:rPr>
                <w:rFonts w:hint="eastAsia" w:ascii="宋体" w:hAnsi="宋体" w:cs="宋体"/>
                <w:color w:val="auto"/>
              </w:rPr>
              <w:t xml:space="preserve">★7.平台需能够运行在国产化服务器上，</w:t>
            </w:r>
            <w:r>
              <w:rPr>
                <w:rFonts w:hint="eastAsia" w:ascii="宋体" w:hAnsi="宋体" w:cs="宋体"/>
                <w:color w:val="auto"/>
                <w:lang w:val="en-US" w:eastAsia="zh-CN"/>
              </w:rPr>
              <w:t xml:space="preserve">实配</w:t>
            </w:r>
            <w:r>
              <w:rPr>
                <w:rFonts w:hint="eastAsia" w:asciiTheme="minorEastAsia" w:hAnsiTheme="minorEastAsia" w:eastAsiaTheme="minorEastAsia" w:cstheme="minorEastAsia"/>
                <w:color w:val="auto"/>
                <w:lang w:bidi="ar"/>
              </w:rPr>
              <w:t xml:space="preserve">符合信创要求的</w:t>
            </w:r>
            <w:r>
              <w:rPr>
                <w:rFonts w:hint="eastAsia" w:asciiTheme="minorEastAsia" w:hAnsiTheme="minorEastAsia" w:eastAsiaTheme="minorEastAsia" w:cstheme="minorEastAsia"/>
                <w:color w:val="auto"/>
                <w:lang w:val="en-US" w:eastAsia="zh-CN" w:bidi="ar"/>
              </w:rPr>
              <w:t xml:space="preserve">正版软件</w:t>
            </w:r>
            <w:r>
              <w:rPr>
                <w:rFonts w:hint="eastAsia" w:ascii="宋体" w:hAnsi="宋体" w:cs="宋体"/>
                <w:color w:val="auto"/>
              </w:rPr>
              <w:t xml:space="preserve">。（提供承诺函并加盖供应商公章）</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网络设备管理服务器（框架协议采购）</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整机CPU≥24核，≥2.0GHZ主频；内存≥64G；硬盘≥2*480G SSD+3*6T SATA HDD；网口≥2个千兆电口+2个万兆光口，双电源</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链路监测服务器（框架协议采购）</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整机CPU≥24核，≥2.0GHZ主频；内存≥64G；硬盘≥2*480G SSD+3*6T SATA HDD；网口≥2个千兆电口+2个万兆光口，双电源</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哑终端管理服务器（框架协议采购）</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整机CPU≥24核，≥2.0GHZ主频；内存≥64G；硬盘≥2*480G SSD+3*6T SATA HDD；网口≥2个千兆电口+2个万兆光口，双电源</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数据库服务器（框架协议采购）</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整机CPU≥24核，≥2.0GHZ主频；内存≥64G；硬盘≥2*480G SSD+3*6T SATA HDD；网口≥2个千兆电口+2个万兆光口，双电源</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四</w:t>
            </w:r>
            <w:r/>
          </w:p>
        </w:tc>
        <w:tc>
          <w:tcPr>
            <w:gridSpan w:val="2"/>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jc w:val="left"/>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机房业务交换机</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中心机房汇聚交换机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Theme="minorEastAsia" w:hAnsiTheme="minorEastAsia" w:eastAsiaTheme="minorEastAsia" w:cstheme="minorEastAsia"/>
                <w:color w:val="auto"/>
                <w:lang w:bidi="ar"/>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1.万兆SFP+光接口数≥24个，40GE QSFP28以太网光接口≥2,电源≥2,冗余电源；</w:t>
            </w:r>
            <w:r>
              <w:rPr>
                <w:rFonts w:hint="eastAsia" w:ascii="宋体" w:hAnsi="宋体" w:cs="宋体"/>
              </w:rPr>
              <w:t xml:space="preserve">提供原厂白皮书或者产品画册或者（产品官网链接和截图）。</w:t>
            </w:r>
            <w:r>
              <w:rPr>
                <w:rFonts w:hint="eastAsia" w:asciiTheme="minorEastAsia" w:hAnsiTheme="minorEastAsia" w:eastAsiaTheme="minorEastAsia" w:cstheme="minorEastAsia"/>
                <w:color w:val="ff0000"/>
                <w:lang w:bidi="ar"/>
              </w:rPr>
              <w:br/>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2.交换容量≥2.56Tbps，包转发率≥720Mpps</w:t>
            </w:r>
            <w:r>
              <w:rPr>
                <w:rFonts w:hint="eastAsia" w:asciiTheme="minorEastAsia" w:hAnsiTheme="minorEastAsia" w:eastAsiaTheme="minorEastAsia" w:cstheme="minorEastAsia"/>
                <w:color w:val="000000"/>
                <w:lang w:val="en-US" w:eastAsia="zh-CN" w:bidi="ar"/>
              </w:rPr>
              <w:t xml:space="preserve">；</w:t>
            </w:r>
            <w:r>
              <w:rPr>
                <w:rFonts w:hint="eastAsia" w:ascii="宋体" w:hAnsi="宋体" w:cs="宋体"/>
              </w:rPr>
              <w:t xml:space="preserve">提供原厂白皮书或者产品画册或者（产品官网链接和截图）。</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3.支持静态路由、RIP，RIPng、OSPFv2，OSPFv3，IS-ISv4，IS-ISv6、BGP4，BGP4+、等价路由；</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4.支持</w:t>
            </w:r>
            <w:r>
              <w:rPr>
                <w:rFonts w:hint="eastAsia" w:asciiTheme="minorEastAsia" w:hAnsiTheme="minorEastAsia" w:eastAsiaTheme="minorEastAsia" w:cstheme="minorEastAsia"/>
                <w:color w:val="auto"/>
                <w:lang w:bidi="ar"/>
              </w:rPr>
              <w:t xml:space="preserve">基本QinQ、支持灵活QinQ；</w:t>
            </w:r>
            <w:r/>
          </w:p>
          <w:p>
            <w:pPr>
              <w:pStyle w:val="736"/>
              <w:ind w:firstLine="0"/>
              <w:rPr>
                <w:rFonts w:hint="eastAsia" w:eastAsia="宋体"/>
                <w:lang w:eastAsia="zh-CN"/>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.所投产品具备工业和信息化部颁发的进网许可证（CTA认证），</w:t>
            </w:r>
            <w:r>
              <w:rPr>
                <w:rFonts w:hint="eastAsia" w:asciiTheme="minorEastAsia" w:hAnsiTheme="minorEastAsia" w:eastAsiaTheme="minorEastAsia" w:cstheme="minorEastAsia"/>
                <w:color w:val="auto"/>
                <w:sz w:val="21"/>
                <w:szCs w:val="21"/>
                <w:lang w:eastAsia="zh-CN"/>
              </w:rPr>
              <w:t xml:space="preserve">投标</w:t>
            </w:r>
            <w:r>
              <w:rPr>
                <w:rFonts w:hint="eastAsia" w:asciiTheme="minorEastAsia" w:hAnsiTheme="minorEastAsia" w:eastAsiaTheme="minorEastAsia" w:cstheme="minorEastAsia"/>
                <w:color w:val="auto"/>
                <w:sz w:val="21"/>
                <w:szCs w:val="21"/>
                <w:lang w:bidi="ar"/>
              </w:rPr>
              <w:t xml:space="preserve">时须提供：进网许可证清晰扫描件；工信部官网查询结果截图，显示设备型号、生产企业、许可证编号及状态为“有效”。</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千兆业务网接入交换机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宋体" w:hAnsi="宋体" w:cs="宋体"/>
                <w:color w:val="auto"/>
                <w:lang w:bidi="ar"/>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1.交换容量≥672Gbps，包转发率≥170Mpps；</w:t>
            </w:r>
            <w:r>
              <w:rPr>
                <w:rFonts w:hint="eastAsia" w:ascii="宋体" w:hAnsi="宋体" w:cs="宋体"/>
              </w:rPr>
              <w:t xml:space="preserve">提供原厂白皮书或者产品画</w:t>
            </w:r>
            <w:r>
              <w:rPr>
                <w:rFonts w:hint="eastAsia" w:ascii="宋体" w:hAnsi="宋体" w:cs="宋体"/>
                <w:color w:val="auto"/>
              </w:rPr>
              <w:t xml:space="preserve">册或者（产品官网链接和截图）。</w:t>
            </w:r>
            <w:r/>
          </w:p>
          <w:p>
            <w:pPr>
              <w:jc w:val="left"/>
              <w:spacing w:line="400" w:lineRule="exact"/>
              <w:widowControl/>
              <w:rPr>
                <w:rFonts w:hint="eastAsia" w:ascii="宋体" w:hAnsi="宋体" w:cs="宋体"/>
                <w:color w:val="auto"/>
                <w:lang w:bidi="ar"/>
              </w:rPr>
            </w:pP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bidi="ar"/>
              </w:rPr>
              <w:t xml:space="preserve">2.支持24个千兆电口，4个万兆SFP+；</w:t>
            </w:r>
            <w:r>
              <w:rPr>
                <w:rFonts w:hint="eastAsia" w:ascii="宋体" w:hAnsi="宋体" w:cs="宋体"/>
                <w:color w:val="auto"/>
              </w:rPr>
              <w:t xml:space="preserve">提供原厂白皮书或者产品画册或者（产品官网链接和截图）。</w:t>
            </w:r>
            <w:r/>
          </w:p>
          <w:p>
            <w:pPr>
              <w:numPr>
                <w:ilvl w:val="0"/>
                <w:numId w:val="14"/>
              </w:numPr>
              <w:jc w:val="left"/>
              <w:spacing w:line="400" w:lineRule="exact"/>
              <w:widowControl/>
              <w:rPr>
                <w:rFonts w:hint="eastAsia" w:asciiTheme="minorEastAsia" w:hAnsiTheme="minorEastAsia" w:eastAsiaTheme="minorEastAsia" w:cstheme="minorEastAsia"/>
                <w:color w:val="auto"/>
                <w:lang w:bidi="ar"/>
              </w:rPr>
            </w:pPr>
            <w:r>
              <w:rPr>
                <w:rFonts w:hint="eastAsia" w:asciiTheme="minorEastAsia" w:hAnsiTheme="minorEastAsia" w:eastAsiaTheme="minorEastAsia" w:cstheme="minorEastAsia"/>
                <w:color w:val="auto"/>
                <w:lang w:bidi="ar"/>
              </w:rPr>
              <w:t xml:space="preserve">支持可插拔的双电源。</w:t>
            </w:r>
            <w:r>
              <w:rPr>
                <w:rFonts w:hint="eastAsia" w:asciiTheme="minorEastAsia" w:hAnsiTheme="minorEastAsia" w:eastAsiaTheme="minorEastAsia" w:cstheme="minorEastAsia"/>
                <w:color w:val="auto"/>
                <w:lang w:bidi="ar"/>
              </w:rPr>
              <w:br/>
            </w:r>
            <w:r>
              <w:rPr>
                <w:rFonts w:hint="eastAsia" w:asciiTheme="minorEastAsia" w:hAnsiTheme="minorEastAsia" w:eastAsiaTheme="minorEastAsia" w:cstheme="minorEastAsia"/>
                <w:color w:val="auto"/>
                <w:lang w:bidi="ar"/>
              </w:rPr>
              <w:t xml:space="preserve">4.支持将多台物理设备进行互联，使其虚拟为一台逻辑设备。</w:t>
            </w:r>
            <w:r>
              <w:rPr>
                <w:rFonts w:hint="eastAsia" w:asciiTheme="minorEastAsia" w:hAnsiTheme="minorEastAsia" w:eastAsiaTheme="minorEastAsia" w:cstheme="minorEastAsia"/>
                <w:color w:val="auto"/>
                <w:lang w:bidi="ar"/>
              </w:rPr>
              <w:br/>
            </w:r>
            <w:r>
              <w:rPr>
                <w:rFonts w:hint="eastAsia" w:asciiTheme="minorEastAsia" w:hAnsiTheme="minorEastAsia" w:eastAsiaTheme="minorEastAsia" w:cstheme="minorEastAsia"/>
                <w:color w:val="auto"/>
                <w:lang w:bidi="ar"/>
              </w:rPr>
              <w:t xml:space="preserve">5.支持4K个VLAN，支持Voice VLAN，基于端口的VLAN，基于MAC的VLAN。</w:t>
            </w:r>
            <w:r>
              <w:rPr>
                <w:rFonts w:hint="eastAsia" w:asciiTheme="minorEastAsia" w:hAnsiTheme="minorEastAsia" w:eastAsiaTheme="minorEastAsia" w:cstheme="minorEastAsia"/>
                <w:color w:val="auto"/>
                <w:lang w:bidi="ar"/>
              </w:rPr>
              <w:br/>
            </w:r>
            <w:r>
              <w:rPr>
                <w:rFonts w:hint="eastAsia" w:asciiTheme="minorEastAsia" w:hAnsiTheme="minorEastAsia" w:eastAsiaTheme="minorEastAsia" w:cstheme="minorEastAsia"/>
                <w:color w:val="auto"/>
                <w:lang w:bidi="ar"/>
              </w:rPr>
              <w:t xml:space="preserve">6.支持静态路由、RIP、RIPng、OSPFv2 、OSPFv3、BGP、BGP4+、ISIS、ISISv6。</w:t>
            </w:r>
            <w:r>
              <w:rPr>
                <w:rFonts w:hint="eastAsia" w:asciiTheme="minorEastAsia" w:hAnsiTheme="minorEastAsia" w:eastAsiaTheme="minorEastAsia" w:cstheme="minorEastAsia"/>
                <w:color w:val="auto"/>
                <w:lang w:bidi="ar"/>
              </w:rPr>
              <w:br/>
            </w:r>
            <w:r>
              <w:rPr>
                <w:rFonts w:hint="eastAsia" w:asciiTheme="minorEastAsia" w:hAnsiTheme="minorEastAsia" w:eastAsiaTheme="minorEastAsia" w:cstheme="minorEastAsia"/>
                <w:color w:val="auto"/>
                <w:lang w:bidi="ar"/>
              </w:rPr>
              <w:t xml:space="preserve">7.支持SNMP、RMON、Syslog、sFLOW、USB备份日志及配置等特性来进行网络的日常诊断及维护。</w:t>
            </w:r>
            <w:r>
              <w:rPr>
                <w:rFonts w:hint="eastAsia" w:asciiTheme="minorEastAsia" w:hAnsiTheme="minorEastAsia" w:eastAsiaTheme="minorEastAsia" w:cstheme="minorEastAsia"/>
                <w:color w:val="auto"/>
                <w:lang w:bidi="ar"/>
              </w:rPr>
              <w:br/>
            </w:r>
            <w:r>
              <w:rPr>
                <w:rFonts w:hint="eastAsia" w:asciiTheme="minorEastAsia" w:hAnsiTheme="minorEastAsia" w:eastAsiaTheme="minorEastAsia" w:cstheme="minorEastAsia"/>
                <w:color w:val="auto"/>
                <w:lang w:bidi="ar"/>
              </w:rPr>
              <w:t xml:space="preserve">8.支持通过CLI、Web网管、Telnet进行配置。</w:t>
            </w:r>
            <w:r>
              <w:rPr>
                <w:rFonts w:hint="eastAsia" w:asciiTheme="minorEastAsia" w:hAnsiTheme="minorEastAsia" w:eastAsiaTheme="minorEastAsia" w:cstheme="minorEastAsia"/>
                <w:color w:val="auto"/>
                <w:lang w:bidi="ar"/>
              </w:rPr>
              <w:br/>
            </w: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bidi="ar"/>
              </w:rPr>
              <w:t xml:space="preserve">9.实配：双电源，满配光收发一体模块SFP+ 万兆模块(1310nm、10km、LC)。提供承诺函加盖投标公章。</w:t>
            </w:r>
            <w:r/>
          </w:p>
          <w:p>
            <w:pPr>
              <w:pStyle w:val="736"/>
              <w:ind w:firstLine="0"/>
              <w:rPr>
                <w:rFonts w:hint="eastAsia" w:eastAsia="宋体"/>
                <w:lang w:eastAsia="zh-CN"/>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10</w:t>
            </w:r>
            <w:r>
              <w:rPr>
                <w:rFonts w:hint="eastAsia" w:ascii="宋体" w:hAnsi="宋体" w:cs="宋体"/>
                <w:color w:val="auto"/>
                <w:sz w:val="21"/>
                <w:szCs w:val="21"/>
              </w:rPr>
              <w:t xml:space="preserve">.所投产品具备工业和信息化部颁发的进网许可证（CTA认证），</w:t>
            </w:r>
            <w:r>
              <w:rPr>
                <w:rFonts w:hint="eastAsia" w:asciiTheme="minorEastAsia" w:hAnsiTheme="minorEastAsia" w:eastAsiaTheme="minorEastAsia" w:cstheme="minorEastAsia"/>
                <w:color w:val="auto"/>
                <w:sz w:val="21"/>
                <w:szCs w:val="21"/>
                <w:lang w:eastAsia="zh-CN"/>
              </w:rPr>
              <w:t xml:space="preserve">投标</w:t>
            </w:r>
            <w:r>
              <w:rPr>
                <w:rFonts w:hint="eastAsia" w:asciiTheme="minorEastAsia" w:hAnsiTheme="minorEastAsia" w:eastAsiaTheme="minorEastAsia" w:cstheme="minorEastAsia"/>
                <w:color w:val="auto"/>
                <w:sz w:val="21"/>
                <w:szCs w:val="21"/>
                <w:lang w:bidi="ar"/>
              </w:rPr>
              <w:t xml:space="preserve">时须提供：进网许可证清晰扫描件；工信部官网查询结果截图，显示设备型号、生产企业、许可证编号及状态为“有效”。</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五</w:t>
            </w:r>
            <w:r/>
          </w:p>
        </w:tc>
        <w:tc>
          <w:tcPr>
            <w:gridSpan w:val="2"/>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jc w:val="left"/>
              <w:spacing w:line="400" w:lineRule="exac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一期汇聚交换机</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汇聚交换机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spacing w:line="400" w:lineRule="exact"/>
              <w:widowControl/>
              <w:rPr>
                <w:rFonts w:hint="eastAsia" w:ascii="宋体" w:hAnsi="宋体" w:cs="宋体"/>
                <w:b/>
                <w:bCs/>
                <w:lang w:bidi="ar"/>
              </w:rPr>
            </w:pPr>
            <w:r>
              <w:rPr>
                <w:rFonts w:hint="eastAsia" w:ascii="宋体" w:hAnsi="宋体" w:cs="宋体"/>
                <w:b/>
                <w:bCs/>
                <w:lang w:bidi="ar"/>
              </w:rPr>
              <w:t xml:space="preserve">硬件架构与性能指标：</w:t>
            </w:r>
            <w:r/>
          </w:p>
          <w:p>
            <w:pPr>
              <w:jc w:val="left"/>
              <w:spacing w:line="400" w:lineRule="exact"/>
              <w:widowControl/>
              <w:rPr>
                <w:rFonts w:hint="eastAsia" w:ascii="宋体" w:hAnsi="宋体" w:cs="宋体"/>
                <w:lang w:bidi="ar"/>
              </w:rPr>
            </w:pPr>
            <w:r>
              <w:rPr>
                <w:rFonts w:hint="eastAsia" w:ascii="宋体" w:hAnsi="宋体" w:cs="宋体"/>
                <w:lang w:bidi="ar"/>
              </w:rPr>
              <w:t xml:space="preserve">1.为了保证设备有良好的散热功能，实配模块化风扇框，采用冗余风扇设计，可热插拔，当单个风扇发生故障时，有其他风扇正常运行，保证设备散热。</w:t>
            </w:r>
            <w:r>
              <w:rPr>
                <w:rFonts w:hint="eastAsia" w:ascii="宋体" w:hAnsi="宋体" w:cs="宋体"/>
              </w:rPr>
              <w:t xml:space="preserve">提供原厂白皮书或者产品画册或者（产品官网链接和截图）。</w:t>
            </w:r>
            <w:r/>
          </w:p>
          <w:p>
            <w:pPr>
              <w:jc w:val="left"/>
              <w:spacing w:line="400" w:lineRule="exact"/>
              <w:widowControl/>
              <w:rPr>
                <w:rFonts w:hint="eastAsia" w:ascii="宋体" w:hAnsi="宋体" w:cs="宋体"/>
                <w:lang w:bidi="ar"/>
              </w:rPr>
            </w:pPr>
            <w:r>
              <w:rPr>
                <w:rFonts w:hint="eastAsia" w:ascii="宋体" w:hAnsi="宋体" w:cs="宋体"/>
                <w:lang w:bidi="ar"/>
              </w:rPr>
              <w:t xml:space="preserve">2.为了适应机柜并排部署，采用后出风或侧出风道设计提供气流示意图证明。</w:t>
            </w:r>
            <w:r/>
          </w:p>
          <w:p>
            <w:pPr>
              <w:jc w:val="left"/>
              <w:spacing w:line="400" w:lineRule="exact"/>
              <w:widowControl/>
              <w:rPr>
                <w:rFonts w:hint="eastAsia" w:ascii="宋体" w:hAnsi="宋体" w:cs="宋体"/>
                <w:lang w:bidi="ar"/>
              </w:rPr>
            </w:pPr>
            <w:r>
              <w:rPr>
                <w:rFonts w:hint="eastAsia" w:ascii="宋体" w:hAnsi="宋体" w:cs="宋体"/>
                <w:lang w:bidi="ar"/>
              </w:rPr>
              <w:t xml:space="preserve">★3.采用先进的CLOS交换架构。</w:t>
            </w:r>
            <w:r>
              <w:rPr>
                <w:rFonts w:hint="eastAsia" w:ascii="宋体" w:hAnsi="宋体" w:cs="宋体"/>
              </w:rPr>
              <w:t xml:space="preserve">提供原厂白皮书或者产品画册或者（产品官网链接和截图）。</w:t>
            </w:r>
            <w:r/>
          </w:p>
          <w:p>
            <w:pPr>
              <w:jc w:val="left"/>
              <w:spacing w:line="400" w:lineRule="exact"/>
              <w:widowControl/>
              <w:rPr>
                <w:rFonts w:hint="eastAsia" w:ascii="宋体" w:hAnsi="宋体" w:cs="宋体"/>
                <w:lang w:bidi="ar"/>
              </w:rPr>
            </w:pPr>
            <w:r>
              <w:rPr>
                <w:rFonts w:hint="eastAsia" w:ascii="宋体" w:hAnsi="宋体" w:cs="宋体"/>
                <w:lang w:bidi="ar"/>
              </w:rPr>
              <w:t xml:space="preserve">★4.主控槽位数≥2，业务槽位数≥6；整机交换容量（实际值、非后期开发的理论最高值）≥76 Tbps，包转发率或包转发能力（实际值、非后期开发的理论最高值）≥76000 Mpps。</w:t>
            </w:r>
            <w:r>
              <w:rPr>
                <w:rFonts w:hint="eastAsia" w:ascii="宋体" w:hAnsi="宋体" w:cs="宋体"/>
              </w:rPr>
              <w:t xml:space="preserve">提供原厂白皮书或者产品画册或者（产品官网链接和截图）或者第三方检测机构出具的检测报告扫描件。</w:t>
            </w:r>
            <w:r/>
          </w:p>
          <w:p>
            <w:pPr>
              <w:jc w:val="left"/>
              <w:spacing w:line="400" w:lineRule="exact"/>
              <w:widowControl/>
              <w:rPr>
                <w:rFonts w:hint="eastAsia" w:ascii="宋体" w:hAnsi="宋体" w:cs="宋体"/>
                <w:lang w:bidi="ar"/>
              </w:rPr>
            </w:pPr>
            <w:r>
              <w:rPr>
                <w:rFonts w:hint="eastAsia" w:ascii="宋体" w:hAnsi="宋体" w:cs="宋体"/>
                <w:lang w:bidi="ar"/>
              </w:rPr>
              <w:t xml:space="preserve">5.实配硬件监控模块或独立板卡， 支持1+1备份，能集中监控板卡、风扇、电源、环境，能调节能耗，提供相关证明材料。</w:t>
            </w:r>
            <w:r/>
          </w:p>
          <w:p>
            <w:pPr>
              <w:jc w:val="left"/>
              <w:spacing w:line="400" w:lineRule="exact"/>
              <w:widowControl/>
              <w:rPr>
                <w:rFonts w:hint="eastAsia" w:ascii="宋体" w:hAnsi="宋体" w:cs="宋体"/>
                <w:lang w:bidi="ar"/>
              </w:rPr>
            </w:pPr>
            <w:r>
              <w:rPr>
                <w:rFonts w:hint="eastAsia" w:ascii="宋体" w:hAnsi="宋体" w:cs="宋体"/>
                <w:lang w:bidi="ar"/>
              </w:rPr>
              <w:t xml:space="preserve">6.支持真实业务流的实时检测技术，实现对IP网络的精确丢包监控和快速故障定界能力。</w:t>
            </w:r>
            <w:r/>
          </w:p>
          <w:p>
            <w:pPr>
              <w:jc w:val="left"/>
              <w:spacing w:line="400" w:lineRule="exact"/>
              <w:widowControl/>
              <w:rPr>
                <w:rFonts w:hint="eastAsia" w:ascii="宋体" w:hAnsi="宋体" w:cs="宋体"/>
                <w:b/>
                <w:bCs/>
                <w:lang w:bidi="ar"/>
              </w:rPr>
            </w:pPr>
            <w:r>
              <w:rPr>
                <w:rFonts w:hint="eastAsia" w:ascii="宋体" w:hAnsi="宋体" w:cs="宋体"/>
                <w:b/>
                <w:bCs/>
                <w:lang w:bidi="ar"/>
              </w:rPr>
              <w:t xml:space="preserve">虚拟化：</w:t>
            </w:r>
            <w:r/>
          </w:p>
          <w:p>
            <w:pPr>
              <w:jc w:val="left"/>
              <w:spacing w:line="400" w:lineRule="exact"/>
              <w:widowControl/>
              <w:rPr>
                <w:rFonts w:hint="eastAsia" w:ascii="宋体" w:hAnsi="宋体" w:cs="宋体"/>
              </w:rPr>
            </w:pPr>
            <w:r>
              <w:rPr>
                <w:rFonts w:hint="eastAsia" w:ascii="宋体" w:hAnsi="宋体" w:cs="宋体"/>
              </w:rPr>
              <w:t xml:space="preserve">★1.支持横向虚拟化技术可将多台设备虚拟为一台，提供原厂白皮书或者产品画册或者（产品官网链接和截图）。</w:t>
            </w:r>
            <w:r/>
          </w:p>
          <w:p>
            <w:pPr>
              <w:jc w:val="left"/>
              <w:spacing w:line="400" w:lineRule="exact"/>
              <w:widowControl/>
              <w:rPr>
                <w:rFonts w:hint="eastAsia" w:ascii="宋体" w:hAnsi="宋体" w:cs="宋体"/>
              </w:rPr>
            </w:pPr>
            <w:r>
              <w:rPr>
                <w:rFonts w:hint="eastAsia" w:ascii="宋体" w:hAnsi="宋体" w:cs="宋体"/>
              </w:rPr>
              <w:t xml:space="preserve">2.支持纵向虚拟化可实现“多虚一”或将盒式交换机纵向虚拟为框式交换机板卡或支持跨设备链路聚合 M-LAG，提供原厂白皮书或者产品画册或者（产品官网链接和截图）。</w:t>
            </w:r>
            <w:r/>
          </w:p>
          <w:p>
            <w:pPr>
              <w:jc w:val="left"/>
              <w:spacing w:line="400" w:lineRule="exact"/>
              <w:widowControl/>
              <w:rPr>
                <w:rFonts w:hint="eastAsia" w:ascii="宋体" w:hAnsi="宋体" w:cs="宋体"/>
                <w:b/>
                <w:bCs/>
                <w:lang w:bidi="ar"/>
              </w:rPr>
            </w:pPr>
            <w:r>
              <w:rPr>
                <w:rFonts w:hint="eastAsia" w:ascii="宋体" w:hAnsi="宋体" w:cs="宋体"/>
                <w:b/>
                <w:bCs/>
                <w:lang w:bidi="ar"/>
              </w:rPr>
              <w:t xml:space="preserve">QoS协议:</w:t>
            </w:r>
            <w:r/>
          </w:p>
          <w:p>
            <w:pPr>
              <w:jc w:val="left"/>
              <w:spacing w:line="400" w:lineRule="exact"/>
              <w:widowControl/>
              <w:rPr>
                <w:rFonts w:hint="eastAsia" w:ascii="宋体" w:hAnsi="宋体" w:cs="宋体"/>
                <w:lang w:bidi="ar"/>
              </w:rPr>
            </w:pPr>
            <w:r>
              <w:rPr>
                <w:rFonts w:hint="eastAsia" w:ascii="宋体" w:hAnsi="宋体" w:cs="宋体"/>
                <w:lang w:bidi="ar"/>
              </w:rPr>
              <w:t xml:space="preserve">1.</w:t>
            </w:r>
            <w:r>
              <w:rPr>
                <w:rFonts w:hint="eastAsia" w:ascii="宋体" w:hAnsi="宋体" w:cs="宋体"/>
              </w:rPr>
              <w:t xml:space="preserve">支持层次化QoS或多级H-QoS，提供原厂白皮书或者产品画册或者（产品官网链接和截图）或者第三方检测机构出具的检测报告扫描件。</w:t>
            </w:r>
            <w:r/>
          </w:p>
          <w:p>
            <w:pPr>
              <w:jc w:val="left"/>
              <w:spacing w:line="400" w:lineRule="exact"/>
              <w:widowControl/>
              <w:rPr>
                <w:rFonts w:hint="eastAsia" w:ascii="宋体" w:hAnsi="宋体" w:cs="宋体"/>
                <w:b/>
                <w:bCs/>
                <w:lang w:bidi="ar"/>
              </w:rPr>
            </w:pPr>
            <w:r>
              <w:rPr>
                <w:rFonts w:hint="eastAsia" w:ascii="宋体" w:hAnsi="宋体" w:cs="宋体"/>
                <w:b/>
                <w:bCs/>
                <w:lang w:bidi="ar"/>
              </w:rPr>
              <w:t xml:space="preserve">安全性：</w:t>
            </w:r>
            <w:r/>
          </w:p>
          <w:p>
            <w:pPr>
              <w:jc w:val="left"/>
              <w:spacing w:line="400" w:lineRule="exact"/>
              <w:widowControl/>
              <w:rPr>
                <w:rFonts w:hint="eastAsia" w:ascii="宋体" w:hAnsi="宋体" w:cs="宋体"/>
                <w:lang w:bidi="ar"/>
              </w:rPr>
            </w:pPr>
            <w:r>
              <w:rPr>
                <w:rFonts w:hint="eastAsia" w:ascii="宋体" w:hAnsi="宋体" w:cs="宋体"/>
                <w:lang w:bidi="ar"/>
              </w:rPr>
              <w:t xml:space="preserve">1.支持BPDU guard、Root guard；</w:t>
            </w:r>
            <w:r/>
          </w:p>
          <w:p>
            <w:pPr>
              <w:jc w:val="left"/>
              <w:spacing w:line="400" w:lineRule="exact"/>
              <w:widowControl/>
              <w:rPr>
                <w:rFonts w:hint="eastAsia" w:ascii="宋体" w:hAnsi="宋体" w:cs="宋体"/>
                <w:lang w:bidi="ar"/>
              </w:rPr>
            </w:pPr>
            <w:r>
              <w:rPr>
                <w:rFonts w:hint="eastAsia" w:ascii="宋体" w:hAnsi="宋体" w:cs="宋体"/>
                <w:lang w:bidi="ar"/>
              </w:rPr>
              <w:t xml:space="preserve">2.支持自动隔离攻击源技术；</w:t>
            </w:r>
            <w:r/>
          </w:p>
          <w:p>
            <w:pPr>
              <w:jc w:val="left"/>
              <w:spacing w:line="400" w:lineRule="exact"/>
              <w:widowControl/>
              <w:rPr>
                <w:rFonts w:hint="eastAsia" w:ascii="宋体" w:hAnsi="宋体" w:cs="宋体"/>
                <w:lang w:bidi="ar"/>
              </w:rPr>
            </w:pPr>
            <w:r>
              <w:rPr>
                <w:rFonts w:hint="eastAsia" w:ascii="宋体" w:hAnsi="宋体" w:cs="宋体"/>
                <w:lang w:bidi="ar"/>
              </w:rPr>
              <w:t xml:space="preserve">3.支持CPU保护技术。</w:t>
            </w:r>
            <w:r/>
          </w:p>
          <w:p>
            <w:pPr>
              <w:jc w:val="left"/>
              <w:spacing w:line="400" w:lineRule="exact"/>
              <w:widowControl/>
              <w:rPr>
                <w:rFonts w:hint="eastAsia" w:ascii="宋体" w:hAnsi="宋体" w:cs="宋体"/>
                <w:b/>
                <w:bCs/>
                <w:lang w:bidi="ar"/>
              </w:rPr>
            </w:pPr>
            <w:r>
              <w:rPr>
                <w:rFonts w:hint="eastAsia" w:ascii="宋体" w:hAnsi="宋体" w:cs="宋体"/>
                <w:b/>
                <w:bCs/>
                <w:lang w:bidi="ar"/>
              </w:rPr>
              <w:t xml:space="preserve">可靠性：</w:t>
            </w:r>
            <w:r/>
          </w:p>
          <w:p>
            <w:pPr>
              <w:jc w:val="left"/>
              <w:spacing w:line="400" w:lineRule="exact"/>
              <w:widowControl/>
              <w:rPr>
                <w:rFonts w:hint="eastAsia" w:ascii="宋体" w:hAnsi="宋体" w:cs="宋体"/>
              </w:rPr>
            </w:pPr>
            <w:r>
              <w:rPr>
                <w:rFonts w:hint="eastAsia" w:ascii="宋体" w:hAnsi="宋体" w:cs="宋体"/>
              </w:rPr>
              <w:t xml:space="preserve">★</w:t>
            </w:r>
            <w:r>
              <w:rPr>
                <w:rFonts w:hint="eastAsia" w:ascii="宋体" w:hAnsi="宋体" w:cs="宋体"/>
                <w:lang w:bidi="ar"/>
              </w:rPr>
              <w:t xml:space="preserve">1.支持BFD/OAM，≤3.3ms稳定均匀发包检测，提高设备的可靠性。</w:t>
            </w:r>
            <w:r>
              <w:rPr>
                <w:rFonts w:hint="eastAsia" w:ascii="宋体" w:hAnsi="宋体" w:cs="宋体"/>
              </w:rPr>
              <w:t xml:space="preserve">提供原厂白皮书或产品画册或（产品官网链接和截图）或承诺函加盖投标公章。</w:t>
            </w:r>
            <w:r/>
          </w:p>
          <w:p>
            <w:pPr>
              <w:jc w:val="left"/>
              <w:spacing w:line="400" w:lineRule="exact"/>
              <w:widowControl/>
              <w:rPr>
                <w:rFonts w:hint="eastAsia" w:ascii="宋体" w:hAnsi="宋体" w:cs="宋体"/>
                <w:lang w:bidi="ar"/>
              </w:rPr>
            </w:pPr>
            <w:r>
              <w:rPr>
                <w:rFonts w:hint="eastAsia" w:ascii="宋体" w:hAnsi="宋体" w:cs="宋体"/>
                <w:lang w:bidi="ar"/>
              </w:rPr>
              <w:t xml:space="preserve">2.支持流量可视化功能，支持快速故障定位。</w:t>
            </w:r>
            <w:r/>
          </w:p>
          <w:p>
            <w:pPr>
              <w:jc w:val="left"/>
              <w:spacing w:line="400" w:lineRule="exact"/>
              <w:widowControl/>
              <w:rPr>
                <w:rFonts w:hint="eastAsia" w:ascii="宋体" w:hAnsi="宋体" w:cs="宋体"/>
                <w:lang w:bidi="ar"/>
              </w:rPr>
            </w:pPr>
            <w:r>
              <w:rPr>
                <w:rFonts w:hint="eastAsia" w:ascii="宋体" w:hAnsi="宋体" w:cs="宋体"/>
                <w:lang w:bidi="ar"/>
              </w:rPr>
              <w:t xml:space="preserve">3.管理特性：支持SNMP V1/V2/V3、Telnet、RMON、SSHV2。</w:t>
            </w:r>
            <w:r/>
          </w:p>
          <w:p>
            <w:pPr>
              <w:jc w:val="left"/>
              <w:spacing w:line="400" w:lineRule="exact"/>
              <w:widowControl/>
              <w:rPr>
                <w:rFonts w:hint="eastAsia" w:ascii="宋体" w:hAnsi="宋体" w:cs="宋体"/>
                <w:b/>
                <w:bCs/>
                <w:lang w:bidi="ar"/>
              </w:rPr>
            </w:pPr>
            <w:r>
              <w:rPr>
                <w:rFonts w:hint="eastAsia" w:ascii="宋体" w:hAnsi="宋体" w:cs="宋体"/>
              </w:rPr>
              <w:t xml:space="preserve">★</w:t>
            </w:r>
            <w:r>
              <w:rPr>
                <w:rFonts w:hint="eastAsia" w:ascii="宋体" w:hAnsi="宋体" w:cs="宋体"/>
                <w:b/>
                <w:bCs/>
                <w:lang w:bidi="ar"/>
              </w:rPr>
              <w:t xml:space="preserve">单台配置要求如下（</w:t>
            </w:r>
            <w:r>
              <w:rPr>
                <w:rFonts w:hint="eastAsia" w:ascii="宋体" w:hAnsi="宋体" w:cs="宋体"/>
              </w:rPr>
              <w:t xml:space="preserve">提供原厂白皮书或者产品画册或者（产品官网链接和截图）或者第三方检测机构出具的检测报告扫描件</w:t>
            </w:r>
            <w:r>
              <w:rPr>
                <w:rFonts w:hint="eastAsia" w:ascii="宋体" w:hAnsi="宋体" w:cs="宋体"/>
                <w:b/>
                <w:bCs/>
                <w:lang w:bidi="ar"/>
              </w:rPr>
              <w:t xml:space="preserve">）：</w:t>
            </w:r>
            <w:r/>
          </w:p>
          <w:p>
            <w:pPr>
              <w:jc w:val="left"/>
              <w:spacing w:line="400" w:lineRule="exact"/>
              <w:widowControl/>
              <w:rPr>
                <w:rFonts w:hint="eastAsia" w:ascii="宋体" w:hAnsi="宋体" w:cs="宋体"/>
                <w:color w:val="auto"/>
                <w:lang w:bidi="ar"/>
              </w:rPr>
            </w:pPr>
            <w:r>
              <w:rPr>
                <w:rFonts w:hint="eastAsia" w:ascii="宋体" w:hAnsi="宋体" w:cs="宋体"/>
                <w:color w:val="auto"/>
                <w:lang w:bidi="ar"/>
              </w:rPr>
              <w:t xml:space="preserve">1.1+1冗余电源、双主控引擎，业务插槽≥6；</w:t>
            </w:r>
            <w:r/>
          </w:p>
          <w:p>
            <w:pPr>
              <w:jc w:val="left"/>
              <w:spacing w:line="400" w:lineRule="exact"/>
              <w:widowControl/>
              <w:rPr>
                <w:rFonts w:hint="eastAsia" w:ascii="宋体" w:hAnsi="宋体" w:cs="宋体"/>
                <w:color w:val="auto"/>
                <w:lang w:bidi="ar"/>
              </w:rPr>
            </w:pPr>
            <w:r>
              <w:rPr>
                <w:rFonts w:hint="eastAsia" w:ascii="宋体" w:hAnsi="宋体" w:cs="宋体"/>
                <w:color w:val="auto"/>
                <w:lang w:bidi="ar"/>
              </w:rPr>
              <w:t xml:space="preserve">2.≥24个千兆电口、≥40个万兆光口、≥2个100G光口，≥2个40G光口；实配100G光模块*8、40G光模块*8。(与利旧的核心交换机共同汇聚至新机房)</w:t>
            </w:r>
            <w:r/>
          </w:p>
          <w:p>
            <w:pPr>
              <w:jc w:val="left"/>
              <w:spacing w:line="400" w:lineRule="exact"/>
              <w:widowControl/>
              <w:rPr>
                <w:rFonts w:hint="eastAsia" w:ascii="宋体" w:hAnsi="宋体" w:cs="宋体"/>
                <w:lang w:bidi="ar"/>
              </w:rPr>
            </w:pPr>
            <w:r>
              <w:rPr>
                <w:rFonts w:hint="eastAsia" w:ascii="宋体" w:hAnsi="宋体" w:cs="宋体"/>
                <w:lang w:bidi="ar"/>
              </w:rPr>
              <w:t xml:space="preserve">3.要求实配横向虚拟化功能及相应万兆虚拟化线缆；</w:t>
            </w:r>
            <w:r/>
          </w:p>
          <w:p>
            <w:pPr>
              <w:jc w:val="left"/>
              <w:spacing w:line="400" w:lineRule="exact"/>
              <w:widowControl/>
              <w:rPr>
                <w:rFonts w:hint="eastAsia" w:ascii="宋体" w:hAnsi="宋体" w:cs="宋体"/>
                <w:lang w:bidi="ar"/>
              </w:rPr>
            </w:pPr>
            <w:r>
              <w:rPr>
                <w:rFonts w:hint="eastAsia" w:ascii="宋体" w:hAnsi="宋体" w:cs="宋体"/>
                <w:lang w:bidi="ar"/>
              </w:rPr>
              <w:t xml:space="preserve">4.支持 IPv4/IPv6 双协议栈，配置IPV6功能授权；</w:t>
            </w:r>
            <w:r/>
          </w:p>
          <w:p>
            <w:pPr>
              <w:jc w:val="left"/>
              <w:spacing w:line="400" w:lineRule="exact"/>
              <w:widowControl/>
              <w:rPr>
                <w:rFonts w:hint="eastAsia" w:ascii="宋体" w:hAnsi="宋体" w:cs="宋体"/>
                <w:lang w:bidi="ar"/>
              </w:rPr>
            </w:pPr>
            <w:r>
              <w:rPr>
                <w:rFonts w:hint="eastAsia" w:ascii="宋体" w:hAnsi="宋体" w:cs="宋体"/>
                <w:lang w:bidi="ar"/>
              </w:rPr>
              <w:t xml:space="preserve">5.为保证产品的后续带宽升级能力，要求</w:t>
            </w:r>
            <w:r>
              <w:rPr>
                <w:rFonts w:hint="eastAsia" w:asciiTheme="minorEastAsia" w:hAnsiTheme="minorEastAsia" w:eastAsiaTheme="minorEastAsia" w:cstheme="minorEastAsia"/>
                <w:color w:val="000000"/>
                <w:lang w:eastAsia="zh-CN"/>
              </w:rPr>
              <w:t xml:space="preserve">投标</w:t>
            </w:r>
            <w:r>
              <w:rPr>
                <w:rFonts w:hint="eastAsia" w:ascii="宋体" w:hAnsi="宋体" w:cs="宋体"/>
                <w:lang w:bidi="ar"/>
              </w:rPr>
              <w:t xml:space="preserve">产品单业务槽位万兆端口密度≥48，40G端口密度≥12，100G端口密度≥4；</w:t>
            </w:r>
            <w:r/>
          </w:p>
          <w:p>
            <w:pPr>
              <w:jc w:val="left"/>
              <w:spacing w:line="400" w:lineRule="exact"/>
              <w:widowControl/>
              <w:rPr>
                <w:rFonts w:hint="eastAsia" w:ascii="宋体" w:hAnsi="宋体" w:cs="宋体"/>
                <w:lang w:bidi="ar"/>
              </w:rPr>
            </w:pPr>
            <w:r>
              <w:rPr>
                <w:rFonts w:hint="eastAsia" w:ascii="宋体" w:hAnsi="宋体" w:cs="宋体"/>
                <w:lang w:bidi="ar"/>
              </w:rPr>
              <w:t xml:space="preserve">6.支持MPLS/VPLS，支持VXLAN；</w:t>
            </w:r>
            <w:r/>
          </w:p>
          <w:p>
            <w:pPr>
              <w:jc w:val="left"/>
              <w:spacing w:line="400" w:lineRule="exact"/>
              <w:rPr>
                <w:rFonts w:hint="eastAsia" w:ascii="宋体" w:hAnsi="宋体" w:cs="宋体"/>
                <w:lang w:bidi="ar"/>
              </w:rPr>
            </w:pPr>
            <w:r>
              <w:rPr>
                <w:rFonts w:hint="eastAsia" w:ascii="宋体" w:hAnsi="宋体" w:cs="宋体"/>
                <w:lang w:bidi="ar"/>
              </w:rPr>
              <w:t xml:space="preserve">7.支持 IEEE 802.3az 能效以太网标准；</w:t>
            </w:r>
            <w:r/>
          </w:p>
          <w:p>
            <w:pPr>
              <w:jc w:val="left"/>
              <w:spacing w:line="400" w:lineRule="exact"/>
              <w:rPr>
                <w:rFonts w:hint="eastAsia" w:ascii="宋体" w:hAnsi="宋体" w:cs="宋体"/>
                <w:lang w:bidi="ar"/>
              </w:rPr>
            </w:pPr>
            <w:r>
              <w:rPr>
                <w:rFonts w:hint="eastAsia" w:ascii="宋体" w:hAnsi="宋体" w:cs="宋体"/>
                <w:lang w:bidi="ar"/>
              </w:rPr>
              <w:t xml:space="preserve">8.支持热补丁功能，可在线进行补丁升级；</w:t>
            </w:r>
            <w:r/>
          </w:p>
          <w:p>
            <w:pPr>
              <w:jc w:val="left"/>
              <w:spacing w:line="400" w:lineRule="exact"/>
            </w:pPr>
            <w:r>
              <w:rPr>
                <w:rFonts w:hint="eastAsia" w:ascii="宋体" w:hAnsi="宋体" w:cs="宋体"/>
                <w:lang w:bidi="ar"/>
              </w:rPr>
              <w:t xml:space="preserve">9.支持BFD，BFD for VRRP/BGP/BGP4/ BGP4+/IS-IS/ IS-ISv6/OSPF/ OSPFv3/RSVP/LDP/RIP/ RIPng/ IPv4、 IPv6 静态路由。</w:t>
            </w:r>
            <w:r/>
          </w:p>
          <w:p>
            <w:pPr>
              <w:pStyle w:val="736"/>
              <w:ind w:firstLine="0"/>
              <w:rPr>
                <w:rFonts w:hint="eastAsia" w:asciiTheme="minorEastAsia" w:hAnsiTheme="minorEastAsia" w:eastAsiaTheme="minorEastAsia" w:cstheme="minorEastAsia"/>
                <w:sz w:val="21"/>
                <w:szCs w:val="21"/>
                <w:lang w:eastAsia="zh-CN" w:bidi="ar"/>
              </w:rPr>
            </w:pPr>
            <w:r>
              <w:rPr>
                <w:rFonts w:hint="eastAsia" w:ascii="宋体" w:hAnsi="宋体" w:cs="宋体"/>
                <w:sz w:val="21"/>
                <w:szCs w:val="21"/>
              </w:rPr>
              <w:t xml:space="preserve">★10.所投产品具备工业和信息化部颁发的进网许可证（CTA认证），</w:t>
            </w:r>
            <w:r>
              <w:rPr>
                <w:rFonts w:hint="eastAsia" w:asciiTheme="minorEastAsia" w:hAnsiTheme="minorEastAsia" w:eastAsiaTheme="minorEastAsia" w:cstheme="minorEastAsia"/>
                <w:color w:val="000000"/>
                <w:sz w:val="21"/>
                <w:szCs w:val="21"/>
                <w:lang w:eastAsia="zh-CN"/>
              </w:rPr>
              <w:t xml:space="preserve">投标</w:t>
            </w:r>
            <w:r>
              <w:rPr>
                <w:rFonts w:hint="eastAsia" w:asciiTheme="minorEastAsia" w:hAnsiTheme="minorEastAsia" w:eastAsiaTheme="minorEastAsia" w:cstheme="minorEastAsia"/>
                <w:sz w:val="21"/>
                <w:szCs w:val="21"/>
                <w:lang w:bidi="ar"/>
              </w:rPr>
              <w:t xml:space="preserve">时须提供：进网许可证清晰扫描件；工信部官网查询结果截图，显示设备型号、生产企业、许可证编号及状态为“有效”。</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40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bidi="ar"/>
              </w:rPr>
              <w:t xml:space="preserve">光纤跳线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spacing w:line="400" w:lineRule="exact"/>
              <w:widowControl/>
              <w:rPr>
                <w:rFonts w:hint="eastAsia" w:ascii="宋体" w:hAnsi="宋体" w:cs="宋体"/>
              </w:rPr>
            </w:pPr>
            <w:r>
              <w:rPr>
                <w:rFonts w:hint="eastAsia" w:ascii="宋体" w:hAnsi="宋体" w:cs="宋体"/>
                <w:lang w:bidi="ar"/>
              </w:rPr>
              <w:t xml:space="preserve">▲</w:t>
            </w:r>
            <w:r>
              <w:rPr>
                <w:rFonts w:hint="eastAsia" w:ascii="宋体" w:hAnsi="宋体" w:cs="宋体"/>
              </w:rPr>
              <w:t xml:space="preserve">1.G.652D单模光纤，双芯，LSZH护套，</w:t>
            </w:r>
            <w:r>
              <w:rPr>
                <w:rFonts w:hint="eastAsia" w:ascii="宋体" w:hAnsi="宋体" w:cs="宋体"/>
                <w:lang w:bidi="ar"/>
              </w:rPr>
              <w:t xml:space="preserve">光缆的</w:t>
            </w:r>
            <w:r>
              <w:rPr>
                <w:rFonts w:hint="eastAsia" w:ascii="宋体" w:hAnsi="宋体" w:cs="宋体"/>
              </w:rPr>
              <w:t xml:space="preserve">光学性能、几何性能、机械性能、环境性能、安全性能等符合YD/T 1272.4-2020、YD/T 2152-2010、GB/T 9771-2020等现行国家或行业标准。</w:t>
            </w:r>
            <w:r>
              <w:rPr>
                <w:rFonts w:hint="eastAsia" w:ascii="宋体" w:hAnsi="宋体" w:cs="宋体"/>
                <w:b/>
                <w:bCs/>
              </w:rPr>
              <w:t xml:space="preserve">提供</w:t>
            </w:r>
            <w:r>
              <w:rPr>
                <w:rFonts w:hint="eastAsia" w:ascii="宋体" w:hAnsi="宋体" w:cs="宋体"/>
                <w:b/>
                <w:bCs/>
                <w:lang w:bidi="ar"/>
              </w:rPr>
              <w:t xml:space="preserve">符合现行国家或行业标准、由第三方检测机构出具的有CMA标志的检测报告。</w:t>
            </w:r>
            <w:r/>
          </w:p>
          <w:p>
            <w:pPr>
              <w:jc w:val="left"/>
              <w:spacing w:line="400" w:lineRule="exact"/>
              <w:rPr>
                <w:rFonts w:hint="eastAsia" w:ascii="宋体" w:hAnsi="宋体" w:cs="宋体"/>
              </w:rPr>
            </w:pPr>
            <w:r>
              <w:rPr>
                <w:rFonts w:hint="eastAsia" w:ascii="宋体" w:hAnsi="宋体" w:cs="宋体"/>
              </w:rPr>
              <w:t xml:space="preserve">2.长度规格≥3米。</w:t>
            </w:r>
            <w:r/>
          </w:p>
          <w:p>
            <w:pPr>
              <w:jc w:val="left"/>
              <w:spacing w:line="400" w:lineRule="exact"/>
              <w:widowControl/>
              <w:rPr>
                <w:rFonts w:hint="eastAsia" w:asciiTheme="minorEastAsia" w:hAnsiTheme="minorEastAsia" w:eastAsiaTheme="minorEastAsia" w:cstheme="minorEastAsia"/>
                <w:color w:val="000000"/>
              </w:rPr>
            </w:pPr>
            <w:r>
              <w:rPr>
                <w:rFonts w:hint="eastAsia" w:ascii="宋体" w:hAnsi="宋体" w:cs="宋体"/>
              </w:rPr>
              <w:t xml:space="preserve">3. 技术规范：回拨损耗：单模＞50dB ； 插入损耗：最大值0.5dB，典型值0.2dB；套管外径：1.25mm；线缆直径：护套光纤：0.9mm，抗拉强度：护套光纤5N，单芯线缆100N，双芯线缆100N；工作温度：-40℃～75℃；使用寿命卡接次数≥1000次。</w:t>
            </w:r>
            <w:r/>
          </w:p>
        </w:tc>
      </w:tr>
    </w:tbl>
    <w:p>
      <w:pPr>
        <w:spacing w:line="360" w:lineRule="auto"/>
        <w:rPr>
          <w:rFonts w:hint="eastAsia" w:ascii="宋体" w:hAnsi="宋体"/>
          <w:b/>
          <w:bCs/>
          <w:sz w:val="24"/>
          <w:szCs w:val="24"/>
        </w:rPr>
      </w:pPr>
      <w:r>
        <w:rPr>
          <w:rFonts w:hint="eastAsia" w:ascii="宋体" w:hAnsi="宋体"/>
          <w:b/>
          <w:bCs/>
          <w:sz w:val="24"/>
          <w:szCs w:val="24"/>
        </w:rPr>
      </w:r>
      <w:r/>
    </w:p>
    <w:p>
      <w:pPr>
        <w:spacing w:line="360" w:lineRule="auto"/>
        <w:rPr>
          <w:rFonts w:hint="eastAsia" w:ascii="宋体" w:hAnsi="宋体"/>
          <w:b/>
          <w:bCs/>
          <w:sz w:val="24"/>
          <w:szCs w:val="24"/>
        </w:rPr>
      </w:pPr>
      <w:r>
        <w:rPr>
          <w:rFonts w:hint="eastAsia" w:ascii="宋体" w:hAnsi="宋体"/>
          <w:b/>
          <w:bCs/>
          <w:sz w:val="24"/>
          <w:szCs w:val="24"/>
        </w:rPr>
        <w:t xml:space="preserve">说明：系统CAD建筑图与采购单位联系人联系获取。在施工过程中如果涉及到装饰的拆除与修复，一切费用由中标方负责。</w:t>
      </w:r>
      <w:r/>
    </w:p>
    <w:p>
      <w:pPr>
        <w:pStyle w:val="771"/>
        <w:keepLines w:val="0"/>
        <w:spacing w:line="440" w:lineRule="exact"/>
        <w:tabs>
          <w:tab w:val="left" w:pos="0" w:leader="none"/>
        </w:tabs>
        <w:rPr>
          <w:rFonts w:hint="eastAsia" w:asciiTheme="minorEastAsia" w:hAnsiTheme="minorEastAsia" w:eastAsiaTheme="minorEastAsia" w:cstheme="minorEastAsia"/>
        </w:rPr>
      </w:pPr>
      <w:r>
        <w:rPr>
          <w:rFonts w:hint="eastAsia" w:ascii="Times New Roman" w:hAnsi="Times New Roman" w:eastAsia="宋体" w:cs="Times New Roman"/>
          <w:b/>
          <w:bCs/>
          <w:color w:val="auto"/>
          <w:sz w:val="21"/>
          <w:szCs w:val="21"/>
        </w:rPr>
        <w:t xml:space="preserve">★注：供应商所投核心</w:t>
      </w:r>
      <w:r>
        <w:rPr>
          <w:rFonts w:hint="eastAsia" w:ascii="Times New Roman" w:hAnsi="Times New Roman" w:eastAsia="宋体" w:cs="Times New Roman"/>
          <w:b/>
          <w:bCs/>
          <w:color w:val="auto"/>
          <w:sz w:val="21"/>
          <w:szCs w:val="21"/>
        </w:rPr>
        <w:t xml:space="preserve">交换机应执行《网络关键设备和网络安全专用产品目录》（2023年第2号）和《关于调整网络安全专用产品安全管理有关事项的公告》（2023年第1号）的要求，按照《信息安全技术 网络安全专用产品安全技术要求》等相关国家标准的强制性要求。提供由具备资格的机构出具的安全认证合格或者安全检测符合要求证明材料。其中，“网络关键设备和网络安全专用产品安全认证和安全检测结果发布”（以最新发布的为准），所投产品提供中央网络安全与信息化委员会办公室（中央网信办）网站“网络关键设备和网络安全专用产品安全认证和安全检测结果 ”的截图。</w:t>
      </w:r>
      <w:r/>
    </w:p>
    <w:p>
      <w:pPr>
        <w:pStyle w:val="1040"/>
        <w:ind w:hanging="432"/>
        <w:spacing w:line="400" w:lineRule="exact"/>
        <w:tabs>
          <w:tab w:val="left" w:pos="0" w:leader="none"/>
        </w:tabs>
        <w:rPr>
          <w:rFonts w:ascii="Times New Roman" w:hAnsi="Times New Roman"/>
          <w:b w:val="0"/>
          <w:sz w:val="24"/>
          <w:szCs w:val="21"/>
        </w:rPr>
      </w:pPr>
      <w:r>
        <w:rPr>
          <w:rFonts w:hint="eastAsia" w:ascii="Times New Roman" w:hAnsi="Times New Roman"/>
          <w:b w:val="0"/>
          <w:sz w:val="24"/>
          <w:szCs w:val="21"/>
        </w:rPr>
        <w:tab/>
      </w:r>
      <w:r>
        <w:rPr>
          <w:rFonts w:hint="eastAsia" w:ascii="Times New Roman" w:hAnsi="Times New Roman"/>
          <w:b w:val="0"/>
          <w:sz w:val="24"/>
          <w:szCs w:val="21"/>
        </w:rPr>
        <w:t xml:space="preserve">3.</w:t>
      </w:r>
      <w:r>
        <w:rPr>
          <w:rFonts w:ascii="Times New Roman" w:hAnsi="Times New Roman"/>
          <w:b w:val="0"/>
          <w:sz w:val="24"/>
          <w:szCs w:val="21"/>
        </w:rPr>
        <w:t xml:space="preserve">验收标准</w:t>
      </w:r>
      <w:r/>
    </w:p>
    <w:p>
      <w:pPr>
        <w:ind w:firstLine="482"/>
        <w:spacing w:line="400" w:lineRule="exact"/>
        <w:widowControl/>
        <w:rPr>
          <w:rFonts w:hint="eastAsia" w:ascii="宋体" w:hAnsi="宋体"/>
          <w:sz w:val="24"/>
          <w:szCs w:val="24"/>
        </w:rPr>
      </w:pPr>
      <w:r>
        <w:rPr>
          <w:rFonts w:hint="eastAsia" w:ascii="宋体" w:hAnsi="宋体"/>
          <w:sz w:val="24"/>
          <w:szCs w:val="24"/>
        </w:rPr>
        <w:t xml:space="preserve">严格按照关于印发《江苏省政府采购履约验收管理办法》的通知（苏财规〔2024〕7号）进行验收。必要时委托依法取得检测、认证资质的机构进行检测、认证，对于供应商未按合同约定履约的，采购人依法追究其违约责任。</w:t>
      </w:r>
      <w:r/>
    </w:p>
    <w:p>
      <w:pPr>
        <w:ind w:firstLine="480"/>
        <w:spacing w:line="400" w:lineRule="exact"/>
        <w:rPr>
          <w:rFonts w:hint="eastAsia" w:ascii="宋体" w:hAnsi="宋体" w:eastAsia="宋体"/>
          <w:b/>
          <w:bCs/>
          <w:color w:val="auto"/>
          <w:sz w:val="24"/>
          <w:szCs w:val="24"/>
          <w:lang w:eastAsia="zh-CN"/>
        </w:rPr>
      </w:pPr>
      <w:r>
        <w:rPr>
          <w:rFonts w:hint="eastAsia" w:ascii="宋体" w:hAnsi="宋体"/>
          <w:b/>
          <w:bCs/>
          <w:color w:val="auto"/>
          <w:sz w:val="24"/>
          <w:szCs w:val="24"/>
          <w:lang w:val="en-US" w:eastAsia="zh-CN"/>
        </w:rPr>
        <w:t xml:space="preserve">其他</w:t>
      </w:r>
      <w:r>
        <w:rPr>
          <w:rFonts w:hint="eastAsia" w:ascii="宋体" w:hAnsi="宋体"/>
          <w:b/>
          <w:bCs/>
          <w:color w:val="auto"/>
          <w:sz w:val="24"/>
          <w:szCs w:val="24"/>
        </w:rPr>
        <w:t xml:space="preserve">验收要求</w:t>
      </w:r>
      <w:r>
        <w:rPr>
          <w:rFonts w:hint="eastAsia" w:ascii="宋体" w:hAnsi="宋体"/>
          <w:b/>
          <w:bCs/>
          <w:color w:val="auto"/>
          <w:sz w:val="24"/>
          <w:szCs w:val="24"/>
          <w:lang w:val="en-US" w:eastAsia="zh-CN"/>
        </w:rPr>
        <w:t xml:space="preserve">另</w:t>
      </w:r>
      <w:r>
        <w:rPr>
          <w:rFonts w:hint="eastAsia" w:ascii="宋体" w:hAnsi="宋体"/>
          <w:b/>
          <w:bCs/>
          <w:color w:val="auto"/>
          <w:sz w:val="24"/>
          <w:szCs w:val="24"/>
        </w:rPr>
        <w:t xml:space="preserve">见附件</w:t>
      </w:r>
      <w:r>
        <w:rPr>
          <w:rFonts w:hint="eastAsia" w:ascii="宋体" w:hAnsi="宋体"/>
          <w:b/>
          <w:bCs/>
          <w:color w:val="auto"/>
          <w:sz w:val="24"/>
          <w:szCs w:val="24"/>
          <w:lang w:eastAsia="zh-CN"/>
        </w:rPr>
        <w:t xml:space="preserve">。</w:t>
      </w:r>
      <w:r/>
    </w:p>
    <w:p>
      <w:pPr>
        <w:ind w:firstLine="482"/>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4.其他要求</w:t>
      </w:r>
      <w:r/>
    </w:p>
    <w:p>
      <w:pPr>
        <w:ind w:left="420"/>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ind w:left="420"/>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5"/>
        </w:numPr>
        <w:spacing w:line="276" w:lineRule="auto"/>
        <w:tabs>
          <w:tab w:val="clear" w:pos="312" w:leader="none"/>
        </w:tabs>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实质性要求  </w:t>
      </w:r>
      <w:r/>
    </w:p>
    <w:tbl>
      <w:tblPr>
        <w:tblStyle w:val="7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1699"/>
        <w:gridCol w:w="3240"/>
        <w:gridCol w:w="2997"/>
      </w:tblGrid>
      <w:tr>
        <w:trPr/>
        <w:tc>
          <w:tcPr>
            <w:tcW w:w="0" w:type="auto"/>
            <w:vAlign w:val="center"/>
            <w:textDirection w:val="lrTb"/>
            <w:noWrap w:val="false"/>
          </w:tcPr>
          <w:p>
            <w:pPr>
              <w:jc w:val="center"/>
              <w:spacing w:line="320" w:lineRule="exact"/>
              <w:widowControl/>
              <w:rPr>
                <w:rFonts w:hint="eastAsia" w:ascii="宋体" w:hAnsi="宋体" w:cs="宋体"/>
                <w:b/>
                <w:bCs/>
              </w:rPr>
            </w:pPr>
            <w:r>
              <w:rPr>
                <w:rFonts w:hint="eastAsia" w:ascii="宋体" w:hAnsi="宋体" w:cs="宋体"/>
                <w:b/>
                <w:bCs/>
                <w:lang w:bidi="ar"/>
              </w:rPr>
              <w:t xml:space="preserve">序号</w:t>
            </w:r>
            <w:r/>
          </w:p>
        </w:tc>
        <w:tc>
          <w:tcPr>
            <w:tcW w:w="1699" w:type="dxa"/>
            <w:vAlign w:val="center"/>
            <w:textDirection w:val="lrTb"/>
            <w:noWrap w:val="false"/>
          </w:tcPr>
          <w:p>
            <w:pPr>
              <w:jc w:val="center"/>
              <w:spacing w:line="320" w:lineRule="exact"/>
              <w:widowControl/>
              <w:rPr>
                <w:rFonts w:hint="eastAsia" w:ascii="宋体" w:hAnsi="宋体" w:cs="宋体"/>
                <w:b/>
                <w:bCs/>
              </w:rPr>
            </w:pPr>
            <w:r>
              <w:rPr>
                <w:rFonts w:hint="eastAsia" w:ascii="宋体" w:hAnsi="宋体" w:cs="宋体"/>
                <w:b/>
                <w:bCs/>
                <w:lang w:bidi="ar"/>
              </w:rPr>
              <w:t xml:space="preserve">设备名称或其它</w:t>
            </w:r>
            <w:r/>
          </w:p>
        </w:tc>
        <w:tc>
          <w:tcPr>
            <w:tcW w:w="3240" w:type="dxa"/>
            <w:vAlign w:val="center"/>
            <w:textDirection w:val="lrTb"/>
            <w:noWrap w:val="false"/>
          </w:tcPr>
          <w:p>
            <w:pPr>
              <w:jc w:val="center"/>
              <w:spacing w:line="320" w:lineRule="exact"/>
              <w:widowControl/>
              <w:rPr>
                <w:rFonts w:hint="eastAsia" w:ascii="宋体" w:hAnsi="宋体" w:cs="宋体"/>
                <w:b/>
                <w:bCs/>
              </w:rPr>
            </w:pPr>
            <w:r>
              <w:rPr>
                <w:rFonts w:hint="eastAsia" w:ascii="宋体" w:hAnsi="宋体" w:cs="宋体"/>
                <w:b/>
                <w:bCs/>
                <w:lang w:bidi="ar"/>
              </w:rPr>
              <w:t xml:space="preserve">技术参数或要求</w:t>
            </w:r>
            <w:r/>
          </w:p>
        </w:tc>
        <w:tc>
          <w:tcPr>
            <w:tcW w:w="2997" w:type="dxa"/>
            <w:vAlign w:val="center"/>
            <w:textDirection w:val="lrTb"/>
            <w:noWrap w:val="false"/>
          </w:tcPr>
          <w:p>
            <w:pPr>
              <w:jc w:val="center"/>
              <w:spacing w:line="320" w:lineRule="exact"/>
              <w:widowControl/>
              <w:rPr>
                <w:rFonts w:hint="eastAsia" w:ascii="宋体" w:hAnsi="宋体" w:cs="宋体"/>
                <w:b/>
                <w:bCs/>
              </w:rPr>
            </w:pPr>
            <w:r>
              <w:rPr>
                <w:rFonts w:hint="eastAsia" w:ascii="宋体" w:hAnsi="宋体" w:cs="宋体"/>
                <w:b/>
                <w:bCs/>
                <w:lang w:bidi="ar"/>
              </w:rPr>
              <w:t xml:space="preserve">证明材料</w:t>
            </w:r>
            <w:r/>
          </w:p>
        </w:tc>
      </w:tr>
      <w:tr>
        <w:trPr/>
        <w:tc>
          <w:tcPr>
            <w:shd w:val="clear" w:color="auto" w:fill="auto"/>
            <w:tcW w:w="0" w:type="auto"/>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1.1</w:t>
            </w:r>
            <w:r/>
          </w:p>
        </w:tc>
        <w:tc>
          <w:tcPr>
            <w:shd w:val="clear" w:color="auto" w:fill="auto"/>
            <w:tcW w:w="1699"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校园网核心</w:t>
            </w:r>
            <w:r/>
          </w:p>
        </w:tc>
        <w:tc>
          <w:tcPr>
            <w:tcW w:w="3240" w:type="dxa"/>
            <w:vAlign w:val="center"/>
            <w:textDirection w:val="lrTb"/>
            <w:noWrap w:val="false"/>
          </w:tcPr>
          <w:p>
            <w:pPr>
              <w:jc w:val="center"/>
              <w:spacing w:line="320" w:lineRule="exact"/>
              <w:widowControl/>
              <w:rPr>
                <w:rFonts w:hint="eastAsia" w:ascii="宋体" w:hAnsi="宋体" w:cs="宋体"/>
                <w:b/>
                <w:bCs/>
                <w:lang w:bidi="ar"/>
              </w:rPr>
            </w:pPr>
            <w:r>
              <w:rPr>
                <w:rFonts w:hint="eastAsia" w:ascii="宋体" w:hAnsi="宋体" w:cs="宋体"/>
                <w:b/>
                <w:bCs/>
                <w:lang w:bidi="ar"/>
              </w:rPr>
            </w:r>
            <w:r/>
          </w:p>
        </w:tc>
        <w:tc>
          <w:tcPr>
            <w:tcW w:w="2997" w:type="dxa"/>
            <w:vAlign w:val="center"/>
            <w:textDirection w:val="lrTb"/>
            <w:noWrap w:val="false"/>
          </w:tcPr>
          <w:p>
            <w:pPr>
              <w:jc w:val="center"/>
              <w:spacing w:line="320" w:lineRule="exact"/>
              <w:widowControl/>
              <w:rPr>
                <w:rFonts w:hint="eastAsia" w:ascii="宋体" w:hAnsi="宋体" w:cs="宋体"/>
                <w:b/>
                <w:bCs/>
                <w:lang w:bidi="ar"/>
              </w:rPr>
            </w:pPr>
            <w:r>
              <w:rPr>
                <w:rFonts w:hint="eastAsia" w:ascii="宋体" w:hAnsi="宋体" w:cs="宋体"/>
                <w:b/>
                <w:bCs/>
                <w:lang w:bidi="ar"/>
              </w:rPr>
            </w:r>
            <w:r/>
          </w:p>
        </w:tc>
      </w:tr>
      <w:tr>
        <w:trPr/>
        <w:tc>
          <w:tcPr>
            <w:tcW w:w="586" w:type="dxa"/>
            <w:vAlign w:val="center"/>
            <w:vMerge w:val="restart"/>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1</w:t>
            </w:r>
            <w:r/>
          </w:p>
        </w:tc>
        <w:tc>
          <w:tcPr>
            <w:tcW w:w="1699" w:type="dxa"/>
            <w:vAlign w:val="center"/>
            <w:vMerge w:val="restart"/>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校园网核心交换机</w:t>
            </w:r>
            <w:r>
              <w:rPr>
                <w:rFonts w:hint="eastAsia" w:asciiTheme="minorEastAsia" w:hAnsiTheme="minorEastAsia" w:eastAsiaTheme="minorEastAsia" w:cstheme="minorEastAsia"/>
                <w:b/>
                <w:bCs/>
                <w:color w:val="auto"/>
                <w:lang w:eastAsia="zh-CN" w:bidi="ar"/>
              </w:rPr>
              <w:t xml:space="preserve">（</w:t>
            </w:r>
            <w:r>
              <w:rPr>
                <w:rFonts w:hint="eastAsia" w:asciiTheme="minorEastAsia" w:hAnsiTheme="minorEastAsia" w:eastAsiaTheme="minorEastAsia" w:cstheme="minorEastAsia"/>
                <w:b/>
                <w:bCs/>
                <w:color w:val="auto"/>
                <w:lang w:val="en-US" w:eastAsia="zh-CN" w:bidi="ar"/>
              </w:rPr>
              <w:t xml:space="preserve">核心产品</w:t>
            </w:r>
            <w:r>
              <w:rPr>
                <w:rFonts w:hint="eastAsia" w:asciiTheme="minorEastAsia" w:hAnsiTheme="minorEastAsia" w:eastAsiaTheme="minorEastAsia" w:cstheme="minorEastAsia"/>
                <w:b/>
                <w:bCs/>
                <w:color w:val="auto"/>
                <w:lang w:eastAsia="zh-CN" w:bidi="ar"/>
              </w:rPr>
              <w:t xml:space="preserve">）</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4.主控槽位数≥2，业务槽位数≥8，交换网板槽位≥4个；整机交换容量≥25Tbps，包转发率≥5000Mpps。</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单台配置要求如下</w:t>
            </w:r>
            <w:r>
              <w:rPr>
                <w:rFonts w:hint="eastAsia" w:ascii="宋体" w:hAnsi="宋体" w:cs="宋体"/>
                <w:b/>
                <w:bCs/>
                <w:lang w:bidi="ar"/>
              </w:rPr>
              <w:t xml:space="preserve">（</w:t>
            </w:r>
            <w:r>
              <w:rPr>
                <w:rFonts w:hint="eastAsia" w:ascii="宋体" w:hAnsi="宋体" w:cs="宋体"/>
                <w:b/>
                <w:bCs/>
              </w:rPr>
              <w:t xml:space="preserve">提供原厂白皮书或者产品画册或者（产品官网链接和截图）或者第三方检测机构出具的检测报告扫描件</w:t>
            </w:r>
            <w:r>
              <w:rPr>
                <w:rFonts w:hint="eastAsia" w:ascii="宋体" w:hAnsi="宋体" w:cs="宋体"/>
                <w:b/>
                <w:bCs/>
                <w:lang w:bidi="ar"/>
              </w:rPr>
              <w:t xml:space="preserve">）</w:t>
            </w:r>
            <w:r>
              <w:rPr>
                <w:rFonts w:hint="eastAsia" w:asciiTheme="minorEastAsia" w:hAnsiTheme="minorEastAsia" w:eastAsiaTheme="minorEastAsia" w:cstheme="minorEastAsia"/>
                <w:color w:val="000000"/>
                <w:lang w:bidi="ar"/>
              </w:rPr>
              <w:t xml:space="preserve">：</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1.1+1冗余电源、双主控引擎，业务插槽≥8，满配交换网板；</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2.≥48个千兆电口、≥48个万兆光口，≥2个40G光口，≥10个100G光口；</w:t>
            </w:r>
            <w:r>
              <w:rPr>
                <w:rFonts w:hint="eastAsia" w:asciiTheme="minorEastAsia" w:hAnsiTheme="minorEastAsia" w:eastAsiaTheme="minorEastAsia" w:cstheme="minorEastAsia"/>
                <w:color w:val="000000"/>
                <w:lang w:bidi="ar"/>
              </w:rPr>
              <w:br/>
            </w:r>
            <w:r>
              <w:rPr>
                <w:rFonts w:hint="eastAsia" w:asciiTheme="minorEastAsia" w:hAnsiTheme="minorEastAsia" w:eastAsiaTheme="minorEastAsia" w:cstheme="minorEastAsia"/>
                <w:color w:val="000000"/>
                <w:lang w:bidi="ar"/>
              </w:rPr>
              <w:t xml:space="preserve">3.要求实配横向虚拟化功能，每台配置万兆虚拟化线缆不低于1根，</w:t>
            </w:r>
            <w:r>
              <w:rPr>
                <w:rFonts w:hint="eastAsia" w:asciiTheme="minorEastAsia" w:hAnsiTheme="minorEastAsia" w:eastAsiaTheme="minorEastAsia" w:cstheme="minorEastAsia"/>
                <w:color w:val="auto"/>
                <w:lang w:bidi="ar"/>
              </w:rPr>
              <w:t xml:space="preserve">满配40G光模块、100G光模块。</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b/>
                <w:bCs/>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.所投产品具备工业和信息化部颁发的进网许可证（CTA认证），</w:t>
            </w:r>
            <w:r>
              <w:rPr>
                <w:rFonts w:hint="eastAsia" w:asciiTheme="minorEastAsia" w:hAnsiTheme="minorEastAsia" w:eastAsiaTheme="minorEastAsia" w:cstheme="minorEastAsia"/>
                <w:color w:val="auto"/>
                <w:sz w:val="21"/>
                <w:szCs w:val="21"/>
                <w:lang w:eastAsia="zh-CN"/>
              </w:rPr>
              <w:t xml:space="preserve">投标</w:t>
            </w:r>
            <w:r>
              <w:rPr>
                <w:rFonts w:hint="eastAsia" w:asciiTheme="minorEastAsia" w:hAnsiTheme="minorEastAsia" w:eastAsiaTheme="minorEastAsia" w:cstheme="minorEastAsia"/>
                <w:color w:val="auto"/>
                <w:sz w:val="21"/>
                <w:szCs w:val="21"/>
                <w:lang w:bidi="ar"/>
              </w:rPr>
              <w:t xml:space="preserve">时须提供：进网许可证清晰扫描件；工信部官网查询结果截图，显示设备型号、生产企业、许可证编号及状态为“有效”。</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.所投产品具备工业和信息化部颁发的进网许可证（CTA认证），</w:t>
            </w:r>
            <w:r>
              <w:rPr>
                <w:rFonts w:hint="eastAsia" w:asciiTheme="minorEastAsia" w:hAnsiTheme="minorEastAsia" w:eastAsiaTheme="minorEastAsia" w:cstheme="minorEastAsia"/>
                <w:color w:val="auto"/>
                <w:sz w:val="21"/>
                <w:szCs w:val="21"/>
                <w:lang w:eastAsia="zh-CN"/>
              </w:rPr>
              <w:t xml:space="preserve">投标</w:t>
            </w:r>
            <w:r>
              <w:rPr>
                <w:rFonts w:hint="eastAsia" w:asciiTheme="minorEastAsia" w:hAnsiTheme="minorEastAsia" w:eastAsiaTheme="minorEastAsia" w:cstheme="minorEastAsia"/>
                <w:color w:val="auto"/>
                <w:sz w:val="21"/>
                <w:szCs w:val="21"/>
                <w:lang w:bidi="ar"/>
              </w:rPr>
              <w:t xml:space="preserve">时须提供：进网许可证清晰扫描件；工信部官网查询结果截图，显示设备型号、生产企业、许可证编号及状态为“有效”。</w:t>
            </w:r>
            <w:r/>
          </w:p>
        </w:tc>
      </w:tr>
      <w:tr>
        <w:trPr/>
        <w:tc>
          <w:tcPr>
            <w:shd w:val="clear" w:color="auto" w:fill="auto"/>
            <w:tcW w:w="0" w:type="auto"/>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1.2</w:t>
            </w:r>
            <w:r/>
          </w:p>
        </w:tc>
        <w:tc>
          <w:tcPr>
            <w:shd w:val="clear" w:color="auto" w:fill="auto"/>
            <w:tcW w:w="1699"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校园网汇聚</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r>
            <w:r/>
          </w:p>
        </w:tc>
      </w:tr>
      <w:tr>
        <w:trPr/>
        <w:tc>
          <w:tcPr>
            <w:tcW w:w="586" w:type="dxa"/>
            <w:vAlign w:val="center"/>
            <w:vMerge w:val="restart"/>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1</w:t>
            </w:r>
            <w:r/>
          </w:p>
        </w:tc>
        <w:tc>
          <w:tcPr>
            <w:tcW w:w="1699" w:type="dxa"/>
            <w:vAlign w:val="center"/>
            <w:vMerge w:val="restart"/>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以太光汇聚交换机</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1.交换容量≥15T，包转发速率≥3000Mpps。</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6.配置：冗余电源100G光接口≥2个，10G物理或者逻辑接口数≥160个，从而满足160间入室交换机通过10G以太网带宽上行到互联接口；所需设备的数量按需配置。</w:t>
            </w:r>
            <w:r/>
          </w:p>
        </w:tc>
        <w:tc>
          <w:tcPr>
            <w:tcW w:w="2997" w:type="dxa"/>
            <w:vAlign w:val="center"/>
            <w:textDirection w:val="lrTb"/>
            <w:noWrap w:val="false"/>
          </w:tcPr>
          <w:p>
            <w:pPr>
              <w:spacing w:line="320" w:lineRule="exact"/>
              <w:rPr>
                <w:rFonts w:hint="eastAsia" w:ascii="宋体" w:hAnsi="宋体" w:cs="宋体"/>
              </w:rPr>
            </w:pPr>
            <w:r>
              <w:rPr>
                <w:rFonts w:hint="eastAsia" w:asciiTheme="minorEastAsia" w:hAnsiTheme="minorEastAsia" w:eastAsiaTheme="minorEastAsia" w:cstheme="minorEastAsia"/>
                <w:color w:val="000000"/>
                <w:lang w:bidi="ar"/>
              </w:rPr>
              <w:t xml:space="preserve">提供承诺函加盖投标公章。</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.所投产品具备工业和信息化部颁发的进网许可证（CTA认证），</w:t>
            </w:r>
            <w:r>
              <w:rPr>
                <w:rFonts w:hint="eastAsia" w:ascii="宋体" w:hAnsi="宋体" w:cs="宋体"/>
                <w:color w:val="auto"/>
                <w:sz w:val="21"/>
                <w:szCs w:val="21"/>
                <w:lang w:val="en-US" w:eastAsia="zh-CN"/>
              </w:rPr>
              <w:t xml:space="preserve">投标</w:t>
            </w:r>
            <w:r>
              <w:rPr>
                <w:rFonts w:hint="eastAsia" w:asciiTheme="minorEastAsia" w:hAnsiTheme="minorEastAsia" w:eastAsiaTheme="minorEastAsia" w:cstheme="minorEastAsia"/>
                <w:color w:val="auto"/>
                <w:sz w:val="21"/>
                <w:szCs w:val="21"/>
                <w:lang w:bidi="ar"/>
              </w:rPr>
              <w:t xml:space="preserve">时须提供：进网许可证清晰扫描件；工信部官网查询结果截图，显示设备型号、生产企业、许可证编号及状态为“有效”。</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.所投产品具备工业和信息化部颁发的进网许可证（CTA认证），</w:t>
            </w:r>
            <w:r>
              <w:rPr>
                <w:rFonts w:hint="eastAsia" w:ascii="宋体" w:hAnsi="宋体" w:cs="宋体"/>
                <w:color w:val="auto"/>
                <w:sz w:val="21"/>
                <w:szCs w:val="21"/>
                <w:lang w:val="en-US" w:eastAsia="zh-CN"/>
              </w:rPr>
              <w:t xml:space="preserve">投标</w:t>
            </w:r>
            <w:r>
              <w:rPr>
                <w:rFonts w:hint="eastAsia" w:asciiTheme="minorEastAsia" w:hAnsiTheme="minorEastAsia" w:eastAsiaTheme="minorEastAsia" w:cstheme="minorEastAsia"/>
                <w:color w:val="auto"/>
                <w:sz w:val="21"/>
                <w:szCs w:val="21"/>
                <w:lang w:bidi="ar"/>
              </w:rPr>
              <w:t xml:space="preserve">时须提供：进网许可证清晰扫描件；工信部官网查询结果截图，显示设备型号、生产企业、许可证编号及状态为“有效”。</w:t>
            </w:r>
            <w:r/>
          </w:p>
        </w:tc>
      </w:tr>
      <w:tr>
        <w:trPr/>
        <w:tc>
          <w:tcPr>
            <w:shd w:val="clear" w:color="auto" w:fill="auto"/>
            <w:tcW w:w="0" w:type="auto"/>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1.3</w:t>
            </w:r>
            <w:r/>
          </w:p>
        </w:tc>
        <w:tc>
          <w:tcPr>
            <w:shd w:val="clear" w:color="auto" w:fill="auto"/>
            <w:tcW w:w="1699"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无线网络</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r>
            <w:r/>
          </w:p>
        </w:tc>
      </w:tr>
      <w:tr>
        <w:trPr/>
        <w:tc>
          <w:tcPr>
            <w:tcW w:w="586" w:type="dxa"/>
            <w:vAlign w:val="center"/>
            <w:vMerge w:val="restart"/>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2</w:t>
            </w:r>
            <w:r/>
          </w:p>
        </w:tc>
        <w:tc>
          <w:tcPr>
            <w:tcW w:w="1699" w:type="dxa"/>
            <w:vAlign w:val="center"/>
            <w:vMerge w:val="restart"/>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面板式无线AP</w:t>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★2. 协议标准：同时支持802.11a/b/g/n/ac/ac wave2/ax协议标准；</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★4. 射频：所有射频都支持MU-MIMO，≥4空间流，整机速率≥2.9Gbps；</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★12.所投产品具有无线电发射设备型号核准证（SRRC认证），提供证书扫描件。</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lang w:bidi="ar"/>
              </w:rPr>
              <w:t xml:space="preserve">所投产品具有无线电发射设备型号核准证（SRRC认证），提供证书扫描件。</w:t>
            </w:r>
            <w:r/>
          </w:p>
        </w:tc>
      </w:tr>
      <w:tr>
        <w:trPr/>
        <w:tc>
          <w:tcPr>
            <w:tcW w:w="586"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3</w:t>
            </w:r>
            <w:r/>
          </w:p>
        </w:tc>
        <w:tc>
          <w:tcPr>
            <w:tcW w:w="1699"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放装式无线AP</w:t>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 协议标准：同时支持802.11a/b/g/n/ac/ac wave2/ax协议标准，内置智能天线；</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3. ★（2）工作时整机最大速率≥2.975Gbps；</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★12.所投产品具有无线电发射设备型号核准证（SRRC认证），提供证书扫描件。</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lang w:bidi="ar"/>
              </w:rPr>
              <w:t xml:space="preserve">所投产品具有无线电发射设备型号核准证（SRRC认证），提供证书扫描件。</w:t>
            </w:r>
            <w:r/>
          </w:p>
        </w:tc>
      </w:tr>
      <w:tr>
        <w:trPr/>
        <w:tc>
          <w:tcPr>
            <w:tcW w:w="586"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4</w:t>
            </w:r>
            <w:r/>
          </w:p>
        </w:tc>
        <w:tc>
          <w:tcPr>
            <w:tcW w:w="1699"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放装式高密无线AP</w:t>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w:t>
            </w:r>
            <w:r>
              <w:rPr>
                <w:rFonts w:hint="eastAsia" w:ascii="宋体" w:hAnsi="宋体" w:cs="宋体"/>
                <w:lang w:bidi="ar"/>
              </w:rPr>
              <w:t xml:space="preserve">1. 协议标准：同时支持802.11a/b/g/n/ac/ac wave2/ax协议标准，内置智能天线；</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lang w:bidi="ar"/>
              </w:rPr>
              <w:t xml:space="preserve">3. </w:t>
            </w:r>
            <w:r>
              <w:rPr>
                <w:rFonts w:hint="eastAsia" w:ascii="宋体" w:hAnsi="宋体" w:cs="宋体"/>
              </w:rPr>
              <w:t xml:space="preserve">★</w:t>
            </w:r>
            <w:r>
              <w:rPr>
                <w:rFonts w:hint="eastAsia" w:ascii="宋体" w:hAnsi="宋体" w:cs="宋体"/>
                <w:lang w:bidi="ar"/>
              </w:rPr>
              <w:t xml:space="preserve">（2）工作时整机最大速率</w:t>
            </w:r>
            <w:r>
              <w:rPr>
                <w:rFonts w:hint="eastAsia" w:ascii="宋体" w:hAnsi="宋体" w:cs="宋体"/>
              </w:rPr>
              <w:t xml:space="preserve">≥6Gbps</w:t>
            </w:r>
            <w:r>
              <w:rPr>
                <w:rFonts w:hint="eastAsia" w:ascii="宋体" w:hAnsi="宋体" w:cs="宋体"/>
                <w:lang w:bidi="ar"/>
              </w:rPr>
              <w:t xml:space="preserve">；</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★12.所投产品具有无线电发射设备型号核准证（SRRC认证），提供证书扫描件。</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lang w:bidi="ar"/>
              </w:rPr>
              <w:t xml:space="preserve">所投产品具有无线电发射设备型号核准证（SRRC认证），提供证书扫描件。</w:t>
            </w:r>
            <w:r/>
          </w:p>
        </w:tc>
      </w:tr>
      <w:tr>
        <w:trPr/>
        <w:tc>
          <w:tcPr>
            <w:tcW w:w="586"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5</w:t>
            </w:r>
            <w:r/>
          </w:p>
        </w:tc>
        <w:tc>
          <w:tcPr>
            <w:tcW w:w="1699"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室外无线AP</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★1.协议标准：同时支持802.11a/b/g/n/ac/ac wave2/ax协议标准，内置定向天线；</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★3. 射频：所有射频都支持MU-MIMO，≥4空间流，整机最大速率≥1.775Gbps；</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★12.所投产品具有无线电发射设备型号核准证（SRRC认证），提供证书扫描件。</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lang w:bidi="ar"/>
              </w:rPr>
              <w:t xml:space="preserve">所投产品具有无线电发射设备型号核准证（SRRC认证），提供证书扫描件。</w:t>
            </w:r>
            <w:r/>
          </w:p>
        </w:tc>
      </w:tr>
      <w:tr>
        <w:trPr/>
        <w:tc>
          <w:tcPr>
            <w:shd w:val="clear" w:color="auto" w:fill="auto"/>
            <w:tcW w:w="0" w:type="auto"/>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1.4</w:t>
            </w:r>
            <w:r/>
          </w:p>
        </w:tc>
        <w:tc>
          <w:tcPr>
            <w:shd w:val="clear" w:color="auto" w:fill="auto"/>
            <w:tcW w:w="1699"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接入设备</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r>
            <w:r/>
          </w:p>
        </w:tc>
      </w:tr>
      <w:tr>
        <w:trPr/>
        <w:tc>
          <w:tcPr>
            <w:shd w:val="clear" w:color="auto" w:fill="auto"/>
            <w:tcW w:w="0" w:type="auto"/>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4</w:t>
            </w:r>
            <w:r/>
          </w:p>
        </w:tc>
        <w:tc>
          <w:tcPr>
            <w:shd w:val="clear" w:color="auto" w:fill="auto"/>
            <w:tcW w:w="1699"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24口POE接入设备</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highlight w:val="none"/>
                <w:lang w:bidi="ar"/>
              </w:rPr>
              <w:t xml:space="preserve">2.系统最大支持POE输出功率≥370W，每个端口最大支持POE输出功率≥30W；</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color w:val="auto"/>
                <w:highlight w:val="none"/>
              </w:rPr>
              <w:t xml:space="preserve">提供官网截图或者产品彩页，材料需并加盖投标人公章</w:t>
            </w:r>
            <w:r/>
          </w:p>
        </w:tc>
      </w:tr>
      <w:tr>
        <w:trPr/>
        <w:tc>
          <w:tcPr>
            <w:tcW w:w="586"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1.5</w:t>
            </w:r>
            <w:r/>
          </w:p>
        </w:tc>
        <w:tc>
          <w:tcPr>
            <w:tcW w:w="1699" w:type="dxa"/>
            <w:vAlign w:val="center"/>
            <w:textDirection w:val="lrTb"/>
            <w:noWrap w:val="false"/>
          </w:tcPr>
          <w:p>
            <w:pPr>
              <w:jc w:val="left"/>
              <w:spacing w:line="400" w:lineRule="exact"/>
              <w:rPr>
                <w:rFonts w:hint="eastAsia" w:ascii="宋体" w:hAnsi="宋体" w:cs="宋体"/>
              </w:rPr>
            </w:pPr>
            <w:r>
              <w:rPr>
                <w:rFonts w:hint="eastAsia" w:asciiTheme="minorEastAsia" w:hAnsiTheme="minorEastAsia" w:eastAsiaTheme="minorEastAsia" w:cstheme="minorEastAsia"/>
                <w:color w:val="000000"/>
                <w:lang w:bidi="ar"/>
              </w:rPr>
              <w:t xml:space="preserve">光传输</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r>
            <w:r/>
          </w:p>
        </w:tc>
      </w:tr>
      <w:tr>
        <w:trPr/>
        <w:tc>
          <w:tcPr>
            <w:tcW w:w="586"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1</w:t>
            </w:r>
            <w:r/>
          </w:p>
        </w:tc>
        <w:tc>
          <w:tcPr>
            <w:tcW w:w="1699"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auto"/>
                <w:lang w:bidi="ar"/>
              </w:rPr>
              <w:t xml:space="preserve">光模块</w:t>
            </w:r>
            <w:r>
              <w:rPr>
                <w:rFonts w:hint="eastAsia" w:asciiTheme="minorEastAsia" w:hAnsiTheme="minorEastAsia" w:eastAsiaTheme="minorEastAsia" w:cstheme="minorEastAsia"/>
                <w:color w:val="auto"/>
                <w:lang w:eastAsia="zh-CN" w:bidi="ar"/>
              </w:rPr>
              <w:t xml:space="preserve">（</w:t>
            </w:r>
            <w:r>
              <w:rPr>
                <w:rFonts w:hint="eastAsia" w:asciiTheme="minorEastAsia" w:hAnsiTheme="minorEastAsia" w:eastAsiaTheme="minorEastAsia" w:cstheme="minorEastAsia"/>
                <w:color w:val="auto"/>
                <w:lang w:val="en-US" w:eastAsia="zh-CN" w:bidi="ar"/>
              </w:rPr>
              <w:t xml:space="preserve">万兆</w:t>
            </w:r>
            <w:r>
              <w:rPr>
                <w:rFonts w:hint="eastAsia" w:asciiTheme="minorEastAsia" w:hAnsiTheme="minorEastAsia" w:eastAsiaTheme="minorEastAsia" w:cstheme="minorEastAsia"/>
                <w:color w:val="auto"/>
                <w:lang w:eastAsia="zh-CN" w:bidi="ar"/>
              </w:rPr>
              <w:t xml:space="preserve">）</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color w:val="auto"/>
                <w:sz w:val="21"/>
                <w:szCs w:val="21"/>
                <w:highlight w:val="yellow"/>
              </w:rPr>
              <w:t xml:space="preserve">★光收发一体模块SFP+ 万兆模块(1271-1571nm、</w:t>
            </w:r>
            <w:r>
              <w:rPr>
                <w:rFonts w:hint="eastAsia" w:asciiTheme="minorEastAsia" w:hAnsiTheme="minorEastAsia" w:eastAsiaTheme="minorEastAsia" w:cstheme="minorEastAsia"/>
                <w:color w:val="auto"/>
                <w:highlight w:val="yellow"/>
                <w:lang w:bidi="ar"/>
              </w:rPr>
              <w:t xml:space="preserve">≥</w:t>
            </w:r>
            <w:r>
              <w:rPr>
                <w:rFonts w:hint="eastAsia" w:asciiTheme="minorEastAsia" w:hAnsiTheme="minorEastAsia" w:eastAsiaTheme="minorEastAsia" w:cstheme="minorEastAsia"/>
                <w:color w:val="auto"/>
                <w:highlight w:val="yellow"/>
                <w:lang w:val="en-US" w:eastAsia="zh-CN" w:bidi="ar"/>
              </w:rPr>
              <w:t xml:space="preserve">8</w:t>
            </w:r>
            <w:r>
              <w:rPr>
                <w:rFonts w:hint="eastAsia" w:asciiTheme="minorEastAsia" w:hAnsiTheme="minorEastAsia" w:eastAsiaTheme="minorEastAsia" w:cstheme="minorEastAsia"/>
                <w:color w:val="auto"/>
                <w:sz w:val="21"/>
                <w:szCs w:val="21"/>
                <w:highlight w:val="yellow"/>
              </w:rPr>
              <w:t xml:space="preserve">km、LC,或1260-1620nm、</w:t>
            </w:r>
            <w:r>
              <w:rPr>
                <w:rFonts w:hint="eastAsia" w:asciiTheme="minorEastAsia" w:hAnsiTheme="minorEastAsia" w:eastAsiaTheme="minorEastAsia" w:cstheme="minorEastAsia"/>
                <w:color w:val="auto"/>
                <w:highlight w:val="yellow"/>
                <w:lang w:bidi="ar"/>
              </w:rPr>
              <w:t xml:space="preserve">≥</w:t>
            </w:r>
            <w:r>
              <w:rPr>
                <w:rFonts w:hint="eastAsia" w:asciiTheme="minorEastAsia" w:hAnsiTheme="minorEastAsia" w:eastAsiaTheme="minorEastAsia" w:cstheme="minorEastAsia"/>
                <w:color w:val="auto"/>
                <w:highlight w:val="yellow"/>
                <w:lang w:val="en-US" w:eastAsia="zh-CN" w:bidi="ar"/>
              </w:rPr>
              <w:t xml:space="preserve">8</w:t>
            </w:r>
            <w:r>
              <w:rPr>
                <w:rFonts w:hint="eastAsia" w:asciiTheme="minorEastAsia" w:hAnsiTheme="minorEastAsia" w:eastAsiaTheme="minorEastAsia" w:cstheme="minorEastAsia"/>
                <w:color w:val="auto"/>
                <w:sz w:val="21"/>
                <w:szCs w:val="21"/>
                <w:highlight w:val="yellow"/>
              </w:rPr>
              <w:t xml:space="preserve">km、LC,或1271-1431nm、</w:t>
            </w:r>
            <w:r>
              <w:rPr>
                <w:rFonts w:hint="eastAsia" w:asciiTheme="minorEastAsia" w:hAnsiTheme="minorEastAsia" w:eastAsiaTheme="minorEastAsia" w:cstheme="minorEastAsia"/>
                <w:color w:val="auto"/>
                <w:highlight w:val="yellow"/>
                <w:lang w:bidi="ar"/>
              </w:rPr>
              <w:t xml:space="preserve">≥</w:t>
            </w:r>
            <w:r>
              <w:rPr>
                <w:rFonts w:hint="eastAsia" w:asciiTheme="minorEastAsia" w:hAnsiTheme="minorEastAsia" w:eastAsiaTheme="minorEastAsia" w:cstheme="minorEastAsia"/>
                <w:color w:val="auto"/>
                <w:highlight w:val="yellow"/>
                <w:lang w:val="en-US" w:eastAsia="zh-CN" w:bidi="ar"/>
              </w:rPr>
              <w:t xml:space="preserve">8</w:t>
            </w:r>
            <w:r>
              <w:rPr>
                <w:rFonts w:hint="eastAsia" w:asciiTheme="minorEastAsia" w:hAnsiTheme="minorEastAsia" w:eastAsiaTheme="minorEastAsia" w:cstheme="minorEastAsia"/>
                <w:color w:val="auto"/>
                <w:sz w:val="21"/>
                <w:szCs w:val="21"/>
                <w:highlight w:val="yellow"/>
              </w:rPr>
              <w:t xml:space="preserve">km、LC)，满足本项目组网要求。</w:t>
            </w:r>
            <w:bookmarkStart w:id="226" w:name="_GoBack"/>
            <w:r/>
            <w:bookmarkEnd w:id="226"/>
            <w:r/>
            <w:r/>
          </w:p>
        </w:tc>
        <w:tc>
          <w:tcPr>
            <w:tcW w:w="2997" w:type="dxa"/>
            <w:vAlign w:val="center"/>
            <w:textDirection w:val="lrTb"/>
            <w:noWrap w:val="false"/>
          </w:tcPr>
          <w:p>
            <w:pPr>
              <w:spacing w:line="320" w:lineRule="exact"/>
              <w:rPr>
                <w:rFonts w:hint="eastAsia" w:ascii="宋体" w:hAnsi="宋体" w:cs="宋体"/>
              </w:rPr>
            </w:pPr>
            <w:r>
              <w:rPr>
                <w:rFonts w:hint="eastAsia" w:asciiTheme="minorEastAsia" w:hAnsiTheme="minorEastAsia" w:eastAsiaTheme="minorEastAsia" w:cstheme="minorEastAsia"/>
                <w:b/>
                <w:bCs/>
                <w:color w:val="auto"/>
                <w:lang w:bidi="ar"/>
              </w:rPr>
              <w:t xml:space="preserve">光模块序列号官网或者400或邮件方式可查,提供官网查询截图（含链接地址）或400电话号码或邮件地址。</w:t>
            </w:r>
            <w:r/>
          </w:p>
        </w:tc>
      </w:tr>
      <w:tr>
        <w:trPr/>
        <w:tc>
          <w:tcPr>
            <w:tcW w:w="586"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2.1</w:t>
            </w:r>
            <w:r/>
          </w:p>
        </w:tc>
        <w:tc>
          <w:tcPr>
            <w:tcW w:w="1699"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酒店网核心</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r>
            <w:r/>
          </w:p>
        </w:tc>
      </w:tr>
      <w:tr>
        <w:trPr/>
        <w:tc>
          <w:tcPr>
            <w:tcW w:w="586"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1</w:t>
            </w:r>
            <w:r/>
          </w:p>
        </w:tc>
        <w:tc>
          <w:tcPr>
            <w:tcW w:w="1699"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auto"/>
                <w:lang w:bidi="ar"/>
              </w:rPr>
              <w:t xml:space="preserve">酒店网核心交换机</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rPr>
              <w:t xml:space="preserve">一、性能与扩展能力（第1-4参数应提供原厂公开技术文档（白皮书、彩页、官网规格页截图及链接地址均可））</w:t>
            </w:r>
            <w:r/>
          </w:p>
          <w:p>
            <w:pPr>
              <w:jc w:val="left"/>
              <w:spacing w:line="320" w:lineRule="exact"/>
              <w:widowControl/>
              <w:rPr>
                <w:rFonts w:hint="eastAsia" w:ascii="宋体" w:hAnsi="宋体" w:cs="宋体"/>
              </w:rPr>
            </w:pPr>
            <w:r>
              <w:rPr>
                <w:rFonts w:hint="eastAsia" w:ascii="宋体" w:hAnsi="宋体" w:cs="宋体"/>
              </w:rPr>
              <w:t xml:space="preserve">★1. 整机性能：交换容量（双向） ≥ 29 Tbps；包转发率 ≥ 9200 Mpps。</w:t>
            </w:r>
            <w:r/>
          </w:p>
          <w:p>
            <w:pPr>
              <w:jc w:val="left"/>
              <w:spacing w:line="320" w:lineRule="exact"/>
              <w:widowControl/>
              <w:rPr>
                <w:rFonts w:hint="eastAsia" w:ascii="宋体" w:hAnsi="宋体" w:cs="宋体"/>
              </w:rPr>
            </w:pPr>
            <w:r>
              <w:rPr>
                <w:rFonts w:hint="eastAsia" w:ascii="宋体" w:hAnsi="宋体" w:cs="宋体"/>
              </w:rPr>
              <w:t xml:space="preserve">★2. 主控引擎冗余，支持双交流电源模块（实配）。</w:t>
            </w:r>
            <w:r/>
          </w:p>
          <w:p>
            <w:pPr>
              <w:jc w:val="left"/>
              <w:spacing w:line="320" w:lineRule="exact"/>
              <w:widowControl/>
              <w:rPr>
                <w:rFonts w:hint="eastAsia" w:ascii="宋体" w:hAnsi="宋体" w:cs="宋体"/>
              </w:rPr>
            </w:pPr>
            <w:r>
              <w:rPr>
                <w:rFonts w:hint="eastAsia" w:ascii="宋体" w:hAnsi="宋体" w:cs="宋体"/>
              </w:rPr>
              <w:t xml:space="preserve">★4. 实配端口要求（本次供货）：每台设备须实配：千兆以太网光口（SFP） ≥48个；千兆以太网电口≥ 48个；万兆以太网光口（SFP+） ≥ 48个。要求实配横向虚拟化功能，每台配置万兆虚拟化线缆不低于1根。</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提供原厂公开技术文档（白皮书、彩页、官网规格页截图及链接地址均可</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sz w:val="21"/>
                <w:szCs w:val="21"/>
              </w:rPr>
              <w:t xml:space="preserve">★13. 电信设备进网许可（CTA）：所投产品必须具备工业和信息化部核发的有效《电信设备进网许可证》。</w:t>
            </w:r>
            <w:r/>
          </w:p>
        </w:tc>
        <w:tc>
          <w:tcPr>
            <w:tcW w:w="2997" w:type="dxa"/>
            <w:vAlign w:val="center"/>
            <w:textDirection w:val="lrTb"/>
            <w:noWrap w:val="false"/>
          </w:tcPr>
          <w:p>
            <w:pPr>
              <w:spacing w:line="320" w:lineRule="exact"/>
              <w:rPr>
                <w:rFonts w:hint="eastAsia" w:ascii="宋体" w:hAnsi="宋体" w:cs="宋体"/>
              </w:rPr>
            </w:pPr>
            <w:r>
              <w:rPr>
                <w:rFonts w:hint="eastAsia" w:asciiTheme="minorEastAsia" w:hAnsiTheme="minorEastAsia" w:eastAsiaTheme="minorEastAsia" w:cstheme="minorEastAsia"/>
                <w:sz w:val="21"/>
                <w:szCs w:val="21"/>
              </w:rPr>
              <w:t xml:space="preserve">投标时须提供：进网许可证清晰扫描件；工信部官网查询结果截图，显示设备型号、生产企业、许可证编号及状态为“有效”。</w:t>
            </w:r>
            <w:r/>
          </w:p>
        </w:tc>
      </w:tr>
      <w:tr>
        <w:trPr/>
        <w:tc>
          <w:tcPr>
            <w:tcW w:w="586"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2.2</w:t>
            </w:r>
            <w:r/>
          </w:p>
        </w:tc>
        <w:tc>
          <w:tcPr>
            <w:tcW w:w="1699"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酒店网汇聚</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r>
            <w:r/>
          </w:p>
        </w:tc>
      </w:tr>
      <w:tr>
        <w:trPr/>
        <w:tc>
          <w:tcPr>
            <w:tcW w:w="586"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1</w:t>
            </w:r>
            <w:r/>
          </w:p>
        </w:tc>
        <w:tc>
          <w:tcPr>
            <w:tcW w:w="1699"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48光口汇聚交换机</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1.支持千兆SFP光口≥48个，1G/10G SFP+光口≥4个；交换容量≥670Gbps，包转发率≥200Mpps；</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.所投产品具备工业和信息化部颁发的进网许可证（CTA认证）</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color w:val="auto"/>
                <w:sz w:val="21"/>
                <w:szCs w:val="21"/>
                <w:lang w:val="en-US" w:eastAsia="zh-CN"/>
              </w:rPr>
              <w:t xml:space="preserve">投标</w:t>
            </w:r>
            <w:r>
              <w:rPr>
                <w:rFonts w:hint="eastAsia" w:asciiTheme="minorEastAsia" w:hAnsiTheme="minorEastAsia" w:eastAsiaTheme="minorEastAsia" w:cstheme="minorEastAsia"/>
                <w:color w:val="auto"/>
                <w:sz w:val="21"/>
                <w:szCs w:val="21"/>
                <w:lang w:bidi="ar"/>
              </w:rPr>
              <w:t xml:space="preserve">时须提供：进网许可证清晰扫描件；工信部官网查询结果截图，显示设备型号、生产企业、许可证编号及状态为“有效”。</w:t>
            </w:r>
            <w:r/>
          </w:p>
        </w:tc>
      </w:tr>
      <w:tr>
        <w:trPr/>
        <w:tc>
          <w:tcPr>
            <w:shd w:val="clear" w:color="auto" w:fill="auto"/>
            <w:tcW w:w="0" w:type="auto"/>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2.3</w:t>
            </w:r>
            <w:r/>
          </w:p>
        </w:tc>
        <w:tc>
          <w:tcPr>
            <w:shd w:val="clear" w:color="auto" w:fill="auto"/>
            <w:tcW w:w="1699"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无线网络</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r>
            <w:r/>
          </w:p>
        </w:tc>
      </w:tr>
      <w:tr>
        <w:trPr/>
        <w:tc>
          <w:tcPr>
            <w:tcW w:w="586"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1</w:t>
            </w:r>
            <w:r/>
          </w:p>
        </w:tc>
        <w:tc>
          <w:tcPr>
            <w:tcW w:w="1699"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auto"/>
                <w:lang w:bidi="ar"/>
              </w:rPr>
              <w:t xml:space="preserve">无线AC控制器</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bidi="ar"/>
              </w:rPr>
              <w:t xml:space="preserve">5.数据转发性能≥20Gbps；</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bidi="ar"/>
              </w:rPr>
              <w:t xml:space="preserve">11.独立AC本次实配：单台最大配置AP数≥</w:t>
            </w:r>
            <w:r>
              <w:rPr>
                <w:rFonts w:hint="eastAsia" w:asciiTheme="minorEastAsia" w:hAnsiTheme="minorEastAsia" w:eastAsiaTheme="minorEastAsia" w:cstheme="minorEastAsia"/>
                <w:color w:val="auto"/>
                <w:lang w:val="en-US" w:eastAsia="zh-CN" w:bidi="ar"/>
              </w:rPr>
              <w:t xml:space="preserve">256</w:t>
            </w:r>
            <w:r>
              <w:rPr>
                <w:rFonts w:hint="eastAsia" w:asciiTheme="minorEastAsia" w:hAnsiTheme="minorEastAsia" w:eastAsiaTheme="minorEastAsia" w:cstheme="minorEastAsia"/>
                <w:color w:val="auto"/>
                <w:lang w:bidi="ar"/>
              </w:rPr>
              <w:t xml:space="preserve">，千兆电口≥8个，千兆光口≥2个，万兆光接口≥2个，配置满足本项目的无线授权数，双电源。</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color w:val="auto"/>
              </w:rPr>
              <w:t xml:space="preserve">提供原厂白皮书</w:t>
            </w:r>
            <w:r>
              <w:rPr>
                <w:rFonts w:hint="eastAsia" w:ascii="宋体" w:hAnsi="宋体" w:cs="宋体"/>
              </w:rPr>
              <w:t xml:space="preserve">或者产品画册或者（产品官网链接和截图）。</w:t>
            </w:r>
            <w:r/>
          </w:p>
        </w:tc>
      </w:tr>
      <w:tr>
        <w:trPr/>
        <w:tc>
          <w:tcPr>
            <w:shd w:val="clear" w:color="auto" w:fill="auto"/>
            <w:tcW w:w="586"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2</w:t>
            </w:r>
            <w:r/>
          </w:p>
        </w:tc>
        <w:tc>
          <w:tcPr>
            <w:shd w:val="clear" w:color="auto" w:fill="auto"/>
            <w:tcW w:w="1699"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面板式无线AP</w:t>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★2. 协议标准：同时支持802.11a/b/g/n/ac/ac wave2/ax协议标准；</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★4. 射频：所有射频都支持MU-MIMO，≥4空间流，整机速率≥2.9Gbps；</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★12.所投产品具有无线电发射设备型号核准证（SRRC认证），提供证书扫描件。</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lang w:bidi="ar"/>
              </w:rPr>
              <w:t xml:space="preserve">所投产品具有无线电发射设备型号核准证（SRRC认证），提供证书扫描件。</w:t>
            </w:r>
            <w:r/>
          </w:p>
        </w:tc>
      </w:tr>
      <w:tr>
        <w:trPr/>
        <w:tc>
          <w:tcPr>
            <w:shd w:val="clear" w:color="auto" w:fill="auto"/>
            <w:tcW w:w="586"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3</w:t>
            </w:r>
            <w:r/>
          </w:p>
        </w:tc>
        <w:tc>
          <w:tcPr>
            <w:shd w:val="clear" w:color="auto" w:fill="auto"/>
            <w:tcW w:w="1699"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放装式无线AP</w:t>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 协议标准：同时支持802.11a/b/g/n/ac/ac wave2/ax协议标准，内置智能天线；</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rPr>
              <w:t xml:space="preserve">3. ★（2）工作时整机最大速率≥2.975Gbps；</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★12.所投产品具有无线电发射设备型号核准证（SRRC认证），提供证书扫描件。</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lang w:bidi="ar"/>
              </w:rPr>
              <w:t xml:space="preserve">所投产品具有无线电发射设备型号核准证（SRRC认证），提供证书扫描件。</w:t>
            </w:r>
            <w:r/>
          </w:p>
        </w:tc>
      </w:tr>
      <w:tr>
        <w:trPr/>
        <w:tc>
          <w:tcPr>
            <w:tcW w:w="586"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4</w:t>
            </w:r>
            <w:r/>
          </w:p>
        </w:tc>
        <w:tc>
          <w:tcPr>
            <w:tcW w:w="1699"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放装式高密无线AP</w:t>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w:t>
            </w:r>
            <w:r>
              <w:rPr>
                <w:rFonts w:hint="eastAsia" w:ascii="宋体" w:hAnsi="宋体" w:cs="宋体"/>
                <w:lang w:bidi="ar"/>
              </w:rPr>
              <w:t xml:space="preserve">1. 协议标准：同时支持802.11a/b/g/n/ac/ac wave2/ax协议标准，内置智能天线；</w:t>
            </w:r>
            <w:r/>
          </w:p>
        </w:tc>
        <w:tc>
          <w:tcPr>
            <w:tcW w:w="2997"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lang w:bidi="ar"/>
              </w:rPr>
              <w:t xml:space="preserve">3. </w:t>
            </w:r>
            <w:r>
              <w:rPr>
                <w:rFonts w:hint="eastAsia" w:ascii="宋体" w:hAnsi="宋体" w:cs="宋体"/>
              </w:rPr>
              <w:t xml:space="preserve">★</w:t>
            </w:r>
            <w:r>
              <w:rPr>
                <w:rFonts w:hint="eastAsia" w:ascii="宋体" w:hAnsi="宋体" w:cs="宋体"/>
                <w:lang w:bidi="ar"/>
              </w:rPr>
              <w:t xml:space="preserve">（2）工作时整机最大速率</w:t>
            </w:r>
            <w:r>
              <w:rPr>
                <w:rFonts w:hint="eastAsia" w:ascii="宋体" w:hAnsi="宋体" w:cs="宋体"/>
              </w:rPr>
              <w:t xml:space="preserve">≥6Gbps</w:t>
            </w:r>
            <w:r>
              <w:rPr>
                <w:rFonts w:hint="eastAsia" w:ascii="宋体" w:hAnsi="宋体" w:cs="宋体"/>
                <w:lang w:bidi="ar"/>
              </w:rPr>
              <w:t xml:space="preserve">；</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★12.所投产品具有无线电发射设备型号核准证（SRRC认证），提供证书扫描件。</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lang w:bidi="ar"/>
              </w:rPr>
              <w:t xml:space="preserve">所投产品具有无线电发射设备型号核准证（SRRC认证），提供证书扫描件。</w:t>
            </w:r>
            <w:r/>
          </w:p>
        </w:tc>
      </w:tr>
      <w:tr>
        <w:trPr/>
        <w:tc>
          <w:tcPr>
            <w:tcW w:w="586"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5</w:t>
            </w:r>
            <w:r/>
          </w:p>
        </w:tc>
        <w:tc>
          <w:tcPr>
            <w:tcW w:w="1699"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室外无线AP</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★1.协议标准：同时支持802.11a/b/g/n/ac/ac wave2/ax协议标准，内置定向天线；</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★3. 射频：所有射频都支持MU-MIMO，≥4空间流，整机最大速率≥1.775Gbps；</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★12.所投产品具有无线电发射设备型号核准证（SRRC认证），提供证书扫描件。</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lang w:bidi="ar"/>
              </w:rPr>
              <w:t xml:space="preserve">所投产品具有无线电发射设备型号核准证（SRRC认证），提供证书扫描件。</w:t>
            </w:r>
            <w:r/>
          </w:p>
        </w:tc>
      </w:tr>
      <w:tr>
        <w:trPr/>
        <w:tc>
          <w:tcPr>
            <w:tcW w:w="586"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2.4</w:t>
            </w:r>
            <w:r/>
          </w:p>
        </w:tc>
        <w:tc>
          <w:tcPr>
            <w:tcW w:w="1699"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接入设备</w:t>
            </w:r>
            <w:r/>
          </w:p>
        </w:tc>
        <w:tc>
          <w:tcPr>
            <w:tcW w:w="3240" w:type="dxa"/>
            <w:vAlign w:val="center"/>
            <w:textDirection w:val="lrTb"/>
            <w:noWrap w:val="false"/>
          </w:tcPr>
          <w:p>
            <w:pPr>
              <w:jc w:val="left"/>
              <w:spacing w:line="320" w:lineRule="exact"/>
              <w:widowControl/>
              <w:rPr>
                <w:rFonts w:hint="eastAsia" w:ascii="宋体" w:hAnsi="宋体" w:cs="宋体"/>
                <w:lang w:bidi="ar"/>
              </w:rPr>
            </w:pPr>
            <w:r>
              <w:rPr>
                <w:rFonts w:hint="eastAsia" w:ascii="宋体" w:hAnsi="宋体" w:cs="宋体"/>
                <w:lang w:bidi="ar"/>
              </w:rPr>
            </w:r>
            <w:r/>
          </w:p>
        </w:tc>
        <w:tc>
          <w:tcPr>
            <w:tcW w:w="2997" w:type="dxa"/>
            <w:vAlign w:val="center"/>
            <w:textDirection w:val="lrTb"/>
            <w:noWrap w:val="false"/>
          </w:tcPr>
          <w:p>
            <w:pPr>
              <w:spacing w:line="320" w:lineRule="exact"/>
              <w:rPr>
                <w:rFonts w:hint="eastAsia" w:ascii="宋体" w:hAnsi="宋体" w:cs="宋体"/>
                <w:lang w:bidi="ar"/>
              </w:rPr>
            </w:pPr>
            <w:r>
              <w:rPr>
                <w:rFonts w:hint="eastAsia" w:ascii="宋体" w:hAnsi="宋体" w:cs="宋体"/>
                <w:lang w:bidi="ar"/>
              </w:rPr>
            </w:r>
            <w:r/>
          </w:p>
        </w:tc>
      </w:tr>
      <w:tr>
        <w:trPr/>
        <w:tc>
          <w:tcPr>
            <w:tcW w:w="586" w:type="dxa"/>
            <w:vAlign w:val="center"/>
            <w:vMerge w:val="restart"/>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1</w:t>
            </w:r>
            <w:r/>
          </w:p>
        </w:tc>
        <w:tc>
          <w:tcPr>
            <w:tcW w:w="1699" w:type="dxa"/>
            <w:vAlign w:val="center"/>
            <w:vMerge w:val="restart"/>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color w:val="auto"/>
                <w:lang w:bidi="ar"/>
              </w:rPr>
              <w:t xml:space="preserve">8电口千兆交换机</w:t>
            </w:r>
            <w:r/>
          </w:p>
        </w:tc>
        <w:tc>
          <w:tcPr>
            <w:tcW w:w="3240" w:type="dxa"/>
            <w:vAlign w:val="center"/>
            <w:textDirection w:val="lrTb"/>
            <w:noWrap w:val="false"/>
          </w:tcPr>
          <w:p>
            <w:pPr>
              <w:jc w:val="left"/>
              <w:spacing w:line="400" w:lineRule="exact"/>
              <w:widowControl/>
              <w:rPr>
                <w:rFonts w:hint="eastAsia" w:ascii="宋体" w:hAnsi="宋体" w:cs="宋体"/>
                <w:lang w:bidi="ar"/>
              </w:rPr>
            </w:pPr>
            <w:r>
              <w:rPr>
                <w:rFonts w:hint="eastAsia" w:ascii="宋体" w:hAnsi="宋体" w:cs="宋体"/>
                <w:color w:val="auto"/>
                <w:lang w:bidi="ar"/>
              </w:rPr>
              <w:t xml:space="preserve">★1.交换能力≥335Gbps ，包转发速率≥25Mpps，≥8个千兆电口，≥2个千兆光口。</w:t>
            </w:r>
            <w:r/>
          </w:p>
        </w:tc>
        <w:tc>
          <w:tcPr>
            <w:tcW w:w="2997" w:type="dxa"/>
            <w:vAlign w:val="center"/>
            <w:textDirection w:val="lrTb"/>
            <w:noWrap w:val="false"/>
          </w:tcPr>
          <w:p>
            <w:pPr>
              <w:jc w:val="left"/>
              <w:spacing w:line="400" w:lineRule="exact"/>
              <w:widowControl/>
              <w:rPr>
                <w:rFonts w:hint="eastAsia" w:ascii="宋体" w:hAnsi="宋体" w:cs="宋体"/>
                <w:lang w:bidi="ar"/>
              </w:rPr>
            </w:pPr>
            <w:r>
              <w:rPr>
                <w:rFonts w:hint="eastAsia" w:ascii="宋体" w:hAnsi="宋体" w:cs="宋体"/>
                <w:color w:val="auto"/>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lang w:bidi="ar"/>
              </w:rPr>
            </w:pPr>
            <w:r>
              <w:rPr>
                <w:rFonts w:hint="eastAsia" w:ascii="宋体" w:hAnsi="宋体" w:cs="宋体"/>
                <w:color w:val="auto"/>
              </w:rPr>
              <w:t xml:space="preserve">★12.所投产品具备工业和信息化部颁发的进网许可证（CTA认证），提供证书扫描件和工信部网站查询的进网许可截图。</w:t>
            </w:r>
            <w:r/>
          </w:p>
        </w:tc>
        <w:tc>
          <w:tcPr>
            <w:tcW w:w="2997" w:type="dxa"/>
            <w:vAlign w:val="center"/>
            <w:textDirection w:val="lrTb"/>
            <w:noWrap w:val="false"/>
          </w:tcPr>
          <w:p>
            <w:pPr>
              <w:spacing w:line="320" w:lineRule="exact"/>
              <w:rPr>
                <w:rFonts w:hint="eastAsia" w:ascii="宋体" w:hAnsi="宋体" w:cs="宋体"/>
                <w:lang w:bidi="ar"/>
              </w:rPr>
            </w:pPr>
            <w:r>
              <w:rPr>
                <w:rFonts w:hint="eastAsia" w:ascii="宋体" w:hAnsi="宋体" w:cs="宋体"/>
                <w:color w:val="auto"/>
              </w:rPr>
              <w:t xml:space="preserve">所投产品具备工业和信息化部颁发的进网许可证（CTA认证），提供证书扫描件和工信部网站查询的进网许可截图。</w:t>
            </w:r>
            <w:r/>
          </w:p>
        </w:tc>
      </w:tr>
      <w:tr>
        <w:trPr/>
        <w:tc>
          <w:tcPr>
            <w:shd w:val="clear" w:color="auto" w:fill="auto"/>
            <w:tcW w:w="586"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2</w:t>
            </w:r>
            <w:r/>
          </w:p>
        </w:tc>
        <w:tc>
          <w:tcPr>
            <w:shd w:val="clear" w:color="auto" w:fill="auto"/>
            <w:tcW w:w="1699"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24口千兆接入交换机</w:t>
            </w:r>
            <w:r/>
          </w:p>
        </w:tc>
        <w:tc>
          <w:tcPr>
            <w:tcW w:w="3240" w:type="dxa"/>
            <w:vAlign w:val="center"/>
            <w:textDirection w:val="lrTb"/>
            <w:noWrap w:val="false"/>
          </w:tcPr>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一、端口与性能</w:t>
            </w:r>
            <w:r>
              <w:rPr>
                <w:rFonts w:hint="eastAsia" w:asciiTheme="minorEastAsia" w:hAnsiTheme="minorEastAsia" w:eastAsiaTheme="minorEastAsia" w:cstheme="minorEastAsia"/>
                <w:b/>
                <w:bCs/>
                <w:color w:val="000000"/>
                <w:sz w:val="21"/>
                <w:szCs w:val="21"/>
                <w:lang w:bidi="ar"/>
              </w:rPr>
              <w:t xml:space="preserve">（</w:t>
            </w:r>
            <w:r>
              <w:rPr>
                <w:rFonts w:hint="eastAsia" w:asciiTheme="minorEastAsia" w:hAnsiTheme="minorEastAsia" w:eastAsiaTheme="minorEastAsia" w:cstheme="minorEastAsia"/>
                <w:b/>
                <w:bCs/>
                <w:sz w:val="21"/>
                <w:szCs w:val="21"/>
              </w:rPr>
              <w:t xml:space="preserve">提供原厂公开技术文档（白皮书、彩页、官网规格页截图及链接地址均可）</w:t>
            </w:r>
            <w:r>
              <w:rPr>
                <w:rFonts w:hint="eastAsia" w:asciiTheme="minorEastAsia" w:hAnsiTheme="minorEastAsia" w:eastAsiaTheme="minorEastAsia" w:cstheme="minorEastAsia"/>
                <w:b/>
                <w:bCs/>
                <w:color w:val="000000"/>
                <w:sz w:val="21"/>
                <w:szCs w:val="21"/>
                <w:lang w:bidi="ar"/>
              </w:rPr>
              <w:t xml:space="preserve">）</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★1. 端口配置：</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提供 ≥ 24 个 10/100/1000M 自适应以太网电口（RJ45）；</w:t>
            </w:r>
            <w:r/>
          </w:p>
          <w:p>
            <w:pPr>
              <w:pStyle w:val="736"/>
              <w:ind w:firstLine="0"/>
              <w:spacing w:line="360" w:lineRule="exact"/>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提供 ≥ 4 个 光接口，支持 1G/2.5G/10G SFP/SFP+（Combo口或独立光口均可）。</w:t>
            </w:r>
            <w:r/>
          </w:p>
          <w:p>
            <w:pPr>
              <w:pStyle w:val="736"/>
              <w:ind w:firstLine="0"/>
              <w:spacing w:line="360" w:lineRule="exact"/>
              <w:rPr>
                <w:rFonts w:hint="eastAsia" w:ascii="宋体" w:hAnsi="宋体" w:cs="宋体"/>
                <w:lang w:bidi="ar"/>
              </w:rPr>
            </w:pPr>
            <w:r>
              <w:rPr>
                <w:rFonts w:hint="eastAsia" w:asciiTheme="minorEastAsia" w:hAnsiTheme="minorEastAsia" w:eastAsiaTheme="minorEastAsia" w:cstheme="minorEastAsia"/>
                <w:color w:val="000000"/>
                <w:sz w:val="21"/>
                <w:szCs w:val="21"/>
                <w:lang w:bidi="ar"/>
              </w:rPr>
              <w:t xml:space="preserve">★</w:t>
            </w:r>
            <w:r>
              <w:rPr>
                <w:rFonts w:hint="eastAsia" w:asciiTheme="minorEastAsia" w:hAnsiTheme="minorEastAsia" w:eastAsiaTheme="minorEastAsia" w:cstheme="minorEastAsia"/>
                <w:sz w:val="21"/>
                <w:szCs w:val="21"/>
                <w:lang w:bidi="ar"/>
              </w:rPr>
              <w:t xml:space="preserve">2. 交换性能：整机交换容量 ≥ 600 Gbps；整机包转发率 ≥ 120 Mpps。</w:t>
            </w:r>
            <w:r/>
          </w:p>
        </w:tc>
        <w:tc>
          <w:tcPr>
            <w:tcW w:w="2997" w:type="dxa"/>
            <w:vAlign w:val="center"/>
            <w:textDirection w:val="lrTb"/>
            <w:noWrap w:val="false"/>
          </w:tcPr>
          <w:p>
            <w:pPr>
              <w:spacing w:line="320" w:lineRule="exact"/>
              <w:rPr>
                <w:rFonts w:hint="eastAsia" w:ascii="宋体" w:hAnsi="宋体" w:cs="宋体"/>
                <w:lang w:bidi="ar"/>
              </w:rPr>
            </w:pPr>
            <w:r>
              <w:rPr>
                <w:rFonts w:hint="eastAsia" w:asciiTheme="minorEastAsia" w:hAnsiTheme="minorEastAsia" w:eastAsiaTheme="minorEastAsia" w:cstheme="minorEastAsia"/>
                <w:b/>
                <w:bCs/>
                <w:sz w:val="21"/>
                <w:szCs w:val="21"/>
              </w:rPr>
              <w:t xml:space="preserve">提供原厂公开技术文档（白皮书、彩页、官网规格页截图及链接地址均可）</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lang w:bidi="ar"/>
              </w:rPr>
            </w:pPr>
            <w:r>
              <w:rPr>
                <w:rFonts w:hint="eastAsia" w:asciiTheme="minorEastAsia" w:hAnsiTheme="minorEastAsia" w:eastAsiaTheme="minorEastAsia" w:cstheme="minorEastAsia"/>
                <w:lang w:bidi="ar"/>
              </w:rPr>
              <w:t xml:space="preserve">★14. 电信设备进网许可（CTA）：所投产品必须具备工业和信息化部核发的有效《电信设备进网许可证》。</w:t>
            </w:r>
            <w:r/>
          </w:p>
        </w:tc>
        <w:tc>
          <w:tcPr>
            <w:tcW w:w="2997" w:type="dxa"/>
            <w:vAlign w:val="center"/>
            <w:textDirection w:val="lrTb"/>
            <w:noWrap w:val="false"/>
          </w:tcPr>
          <w:p>
            <w:pPr>
              <w:spacing w:line="320" w:lineRule="exact"/>
              <w:rPr>
                <w:rFonts w:hint="eastAsia" w:ascii="宋体" w:hAnsi="宋体" w:cs="宋体"/>
                <w:lang w:bidi="ar"/>
              </w:rPr>
            </w:pPr>
            <w:r>
              <w:rPr>
                <w:rFonts w:hint="eastAsia" w:asciiTheme="minorEastAsia" w:hAnsiTheme="minorEastAsia" w:eastAsiaTheme="minorEastAsia" w:cstheme="minorEastAsia"/>
                <w:lang w:bidi="ar"/>
              </w:rPr>
              <w:t xml:space="preserve">投标时须提供：进网许可证清晰扫描件；工信部官网查询结果截图，显示设备型号、生产企业、许可证编号及状态为“有效”。</w:t>
            </w:r>
            <w:r/>
          </w:p>
        </w:tc>
      </w:tr>
      <w:tr>
        <w:trPr/>
        <w:tc>
          <w:tcPr>
            <w:tcW w:w="586"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3</w:t>
            </w:r>
            <w:r/>
          </w:p>
        </w:tc>
        <w:tc>
          <w:tcPr>
            <w:tcW w:w="1699"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24电口千兆POE交换机</w:t>
            </w:r>
            <w:r/>
          </w:p>
        </w:tc>
        <w:tc>
          <w:tcPr>
            <w:tcW w:w="3240" w:type="dxa"/>
            <w:vAlign w:val="center"/>
            <w:textDirection w:val="lrTb"/>
            <w:noWrap w:val="false"/>
          </w:tcPr>
          <w:p>
            <w:pPr>
              <w:jc w:val="left"/>
              <w:spacing w:line="360" w:lineRule="exact"/>
              <w:widowControl/>
              <w:rPr>
                <w:rFonts w:hint="eastAsia" w:asciiTheme="minorEastAsia" w:hAnsiTheme="minorEastAsia" w:eastAsiaTheme="minorEastAsia" w:cstheme="minorEastAsia"/>
                <w:b/>
                <w:bCs/>
                <w:color w:val="000000"/>
              </w:rPr>
            </w:pPr>
            <w:r>
              <w:rPr>
                <w:rFonts w:hint="eastAsia" w:asciiTheme="minorEastAsia" w:hAnsiTheme="minorEastAsia" w:eastAsiaTheme="minorEastAsia" w:cstheme="minorEastAsia"/>
                <w:color w:val="000000"/>
              </w:rPr>
              <w:t xml:space="preserve">一、端口与性能</w:t>
            </w:r>
            <w:r>
              <w:rPr>
                <w:rFonts w:hint="eastAsia" w:asciiTheme="minorEastAsia" w:hAnsiTheme="minorEastAsia" w:eastAsiaTheme="minorEastAsia" w:cstheme="minorEastAsia"/>
                <w:b/>
                <w:bCs/>
                <w:color w:val="000000"/>
              </w:rPr>
              <w:t xml:space="preserve">（</w:t>
            </w:r>
            <w:r>
              <w:rPr>
                <w:rFonts w:hint="eastAsia" w:asciiTheme="minorEastAsia" w:hAnsiTheme="minorEastAsia" w:eastAsiaTheme="minorEastAsia" w:cstheme="minorEastAsia"/>
                <w:b/>
                <w:bCs/>
              </w:rPr>
              <w:t xml:space="preserve">提供原厂公开技术文档（白皮书、彩页、官网规格页截图及链接地址均可）</w:t>
            </w:r>
            <w:r>
              <w:rPr>
                <w:rFonts w:hint="eastAsia" w:asciiTheme="minorEastAsia" w:hAnsiTheme="minorEastAsia" w:eastAsiaTheme="minorEastAsia" w:cstheme="minorEastAsia"/>
                <w:b/>
                <w:bCs/>
                <w:color w:val="000000"/>
              </w:rPr>
              <w:t xml:space="preserve">）</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 端口配置：提供 ≥24 个 10/100/1000M 自适应以太网电口（RJ45），全部支持不低于 IEEE 802.3at（PoE+）；提供 ≥4 个 千兆SFP光口。</w:t>
            </w:r>
            <w:r/>
          </w:p>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 交换性能：</w:t>
            </w:r>
            <w:r/>
          </w:p>
          <w:p>
            <w:pPr>
              <w:jc w:val="left"/>
              <w:spacing w:line="360" w:lineRule="exact"/>
              <w:widowControl/>
              <w:rPr>
                <w:rFonts w:hint="eastAsia" w:ascii="宋体" w:hAnsi="宋体" w:cs="宋体"/>
                <w:lang w:bidi="ar"/>
              </w:rPr>
            </w:pPr>
            <w:r>
              <w:rPr>
                <w:rFonts w:hint="eastAsia" w:asciiTheme="minorEastAsia" w:hAnsiTheme="minorEastAsia" w:eastAsiaTheme="minorEastAsia" w:cstheme="minorEastAsia"/>
                <w:color w:val="000000"/>
              </w:rPr>
              <w:t xml:space="preserve">整机交换容量 ≥600 Gbps；整机包转发率 ≥ 120 Mpps。</w:t>
            </w:r>
            <w:r/>
          </w:p>
        </w:tc>
        <w:tc>
          <w:tcPr>
            <w:tcW w:w="2997" w:type="dxa"/>
            <w:vAlign w:val="center"/>
            <w:textDirection w:val="lrTb"/>
            <w:noWrap w:val="false"/>
          </w:tcPr>
          <w:p>
            <w:pPr>
              <w:spacing w:line="320" w:lineRule="exact"/>
              <w:rPr>
                <w:rFonts w:hint="eastAsia" w:ascii="宋体" w:hAnsi="宋体" w:cs="宋体"/>
                <w:lang w:bidi="ar"/>
              </w:rPr>
            </w:pPr>
            <w:r>
              <w:rPr>
                <w:rFonts w:hint="eastAsia" w:asciiTheme="minorEastAsia" w:hAnsiTheme="minorEastAsia" w:eastAsiaTheme="minorEastAsia" w:cstheme="minorEastAsia"/>
                <w:b/>
                <w:bCs/>
              </w:rPr>
              <w:t xml:space="preserve">提供原厂公开技术文档（白皮书、彩页、官网规格页截图及链接地址均可）</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二、PoE供电能力</w:t>
            </w:r>
            <w:r>
              <w:rPr>
                <w:rFonts w:hint="eastAsia" w:asciiTheme="minorEastAsia" w:hAnsiTheme="minorEastAsia" w:eastAsiaTheme="minorEastAsia" w:cstheme="minorEastAsia"/>
                <w:b/>
                <w:bCs/>
                <w:color w:val="000000"/>
              </w:rPr>
              <w:t xml:space="preserve">（</w:t>
            </w:r>
            <w:r>
              <w:rPr>
                <w:rFonts w:hint="eastAsia" w:asciiTheme="minorEastAsia" w:hAnsiTheme="minorEastAsia" w:eastAsiaTheme="minorEastAsia" w:cstheme="minorEastAsia"/>
                <w:b/>
                <w:bCs/>
              </w:rPr>
              <w:t xml:space="preserve">提供原厂公开技术文档（白皮书、彩页、官网规格页截图及链接地址均可）</w:t>
            </w:r>
            <w:r>
              <w:rPr>
                <w:rFonts w:hint="eastAsia" w:asciiTheme="minorEastAsia" w:hAnsiTheme="minorEastAsia" w:eastAsiaTheme="minorEastAsia" w:cstheme="minorEastAsia"/>
                <w:b/>
                <w:bCs/>
                <w:color w:val="000000"/>
              </w:rPr>
              <w:t xml:space="preserve">）</w:t>
            </w:r>
            <w:r/>
          </w:p>
          <w:p>
            <w:pPr>
              <w:jc w:val="left"/>
              <w:spacing w:line="360" w:lineRule="exact"/>
              <w:widowControl/>
              <w:rPr>
                <w:rFonts w:hint="eastAsia" w:ascii="宋体" w:hAnsi="宋体" w:cs="宋体"/>
                <w:lang w:bidi="ar"/>
              </w:rPr>
            </w:pPr>
            <w:r>
              <w:rPr>
                <w:rFonts w:hint="eastAsia" w:asciiTheme="minorEastAsia" w:hAnsiTheme="minorEastAsia" w:eastAsiaTheme="minorEastAsia" w:cstheme="minorEastAsia"/>
                <w:color w:val="000000"/>
              </w:rPr>
              <w:t xml:space="preserve">★3. PoE标准与功率：至少支持 IEEE 802.3at（PoE+），同时可POE供电端口≥24个；整机可用PoE功率 ≥ 370W。（实际供电需满足学校使用需求）。</w:t>
            </w:r>
            <w:r/>
          </w:p>
        </w:tc>
        <w:tc>
          <w:tcPr>
            <w:tcW w:w="2997" w:type="dxa"/>
            <w:vAlign w:val="center"/>
            <w:textDirection w:val="lrTb"/>
            <w:noWrap w:val="false"/>
          </w:tcPr>
          <w:p>
            <w:pPr>
              <w:spacing w:line="320" w:lineRule="exact"/>
              <w:rPr>
                <w:rFonts w:hint="eastAsia" w:ascii="宋体" w:hAnsi="宋体" w:cs="宋体"/>
                <w:lang w:bidi="ar"/>
              </w:rPr>
            </w:pPr>
            <w:r>
              <w:rPr>
                <w:rFonts w:hint="eastAsia" w:asciiTheme="minorEastAsia" w:hAnsiTheme="minorEastAsia" w:eastAsiaTheme="minorEastAsia" w:cstheme="minorEastAsia"/>
                <w:b/>
                <w:bCs/>
              </w:rPr>
              <w:t xml:space="preserve">提供原厂公开技术文档（白皮书、彩页、官网规格页截图及链接地址均可）</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lang w:bidi="ar"/>
              </w:rPr>
            </w:pPr>
            <w:r>
              <w:rPr>
                <w:rFonts w:hint="eastAsia" w:asciiTheme="minorEastAsia" w:hAnsiTheme="minorEastAsia" w:eastAsiaTheme="minorEastAsia" w:cstheme="minorEastAsia"/>
                <w:color w:val="000000"/>
              </w:rPr>
              <w:t xml:space="preserve">★13. 电信设备进网许可（CTA）：所投产品必须具备工业和信息化部核发的有效《电信设备进网许可证》。</w:t>
            </w:r>
            <w:r/>
          </w:p>
        </w:tc>
        <w:tc>
          <w:tcPr>
            <w:tcW w:w="2997" w:type="dxa"/>
            <w:vAlign w:val="center"/>
            <w:textDirection w:val="lrTb"/>
            <w:noWrap w:val="false"/>
          </w:tcPr>
          <w:p>
            <w:pPr>
              <w:spacing w:line="320" w:lineRule="exact"/>
              <w:rPr>
                <w:rFonts w:hint="eastAsia" w:ascii="宋体" w:hAnsi="宋体" w:cs="宋体"/>
                <w:lang w:bidi="ar"/>
              </w:rPr>
            </w:pPr>
            <w:r>
              <w:rPr>
                <w:rFonts w:hint="eastAsia" w:asciiTheme="minorEastAsia" w:hAnsiTheme="minorEastAsia" w:eastAsiaTheme="minorEastAsia" w:cstheme="minorEastAsia"/>
                <w:color w:val="000000"/>
              </w:rPr>
              <w:t xml:space="preserve">投标时须提供：进网许可证清晰扫描件；工信部官网查询结果截图，显示设备型号、生产企业、许可证编号及状态为“有效”。</w:t>
            </w:r>
            <w:r/>
          </w:p>
        </w:tc>
      </w:tr>
      <w:tr>
        <w:trPr/>
        <w:tc>
          <w:tcPr>
            <w:tcW w:w="0" w:type="auto"/>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4</w:t>
            </w:r>
            <w:r/>
          </w:p>
        </w:tc>
        <w:tc>
          <w:tcPr>
            <w:tcW w:w="1699"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8电口POE千兆交换机</w:t>
            </w:r>
            <w:r/>
          </w:p>
        </w:tc>
        <w:tc>
          <w:tcPr>
            <w:tcW w:w="3240" w:type="dxa"/>
            <w:vAlign w:val="center"/>
            <w:textDirection w:val="lrTb"/>
            <w:noWrap w:val="false"/>
          </w:tcPr>
          <w:p>
            <w:pPr>
              <w:jc w:val="left"/>
              <w:spacing w:line="400" w:lineRule="exact"/>
              <w:widowControl/>
              <w:rPr>
                <w:rFonts w:hint="eastAsia" w:ascii="宋体" w:hAnsi="宋体" w:cs="宋体"/>
                <w:lang w:bidi="ar"/>
              </w:rPr>
            </w:pPr>
            <w:r>
              <w:rPr>
                <w:rFonts w:hint="eastAsia" w:ascii="宋体" w:hAnsi="宋体" w:cs="宋体"/>
              </w:rPr>
              <w:t xml:space="preserve">★1.交换容量≥335Gbps，包转发率≥80Mpps，支持千兆电口≥8个，万兆SFP+接口≥2个。</w:t>
            </w:r>
            <w:r/>
          </w:p>
        </w:tc>
        <w:tc>
          <w:tcPr>
            <w:tcW w:w="2997" w:type="dxa"/>
            <w:vAlign w:val="center"/>
            <w:textDirection w:val="lrTb"/>
            <w:noWrap w:val="false"/>
          </w:tcPr>
          <w:p>
            <w:pPr>
              <w:spacing w:line="320" w:lineRule="exact"/>
              <w:rPr>
                <w:rFonts w:hint="eastAsia" w:ascii="宋体" w:hAnsi="宋体" w:cs="宋体"/>
                <w:lang w:bidi="ar"/>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2.5</w:t>
            </w:r>
            <w:r/>
          </w:p>
        </w:tc>
        <w:tc>
          <w:tcPr>
            <w:tcW w:w="1699"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光传输</w:t>
            </w:r>
            <w:r/>
          </w:p>
        </w:tc>
        <w:tc>
          <w:tcPr>
            <w:tcW w:w="3240" w:type="dxa"/>
            <w:vAlign w:val="center"/>
            <w:textDirection w:val="lrTb"/>
            <w:noWrap w:val="false"/>
          </w:tcPr>
          <w:p>
            <w:pPr>
              <w:jc w:val="left"/>
              <w:spacing w:line="320" w:lineRule="exact"/>
              <w:widowControl/>
              <w:rPr>
                <w:rFonts w:hint="eastAsia" w:ascii="宋体" w:hAnsi="宋体" w:cs="宋体"/>
                <w:lang w:bidi="ar"/>
              </w:rPr>
            </w:pPr>
            <w:r>
              <w:rPr>
                <w:rFonts w:hint="eastAsia" w:ascii="宋体" w:hAnsi="宋体" w:cs="宋体"/>
                <w:lang w:bidi="ar"/>
              </w:rPr>
            </w:r>
            <w:r/>
          </w:p>
        </w:tc>
        <w:tc>
          <w:tcPr>
            <w:tcW w:w="2997" w:type="dxa"/>
            <w:vAlign w:val="center"/>
            <w:textDirection w:val="lrTb"/>
            <w:noWrap w:val="false"/>
          </w:tcPr>
          <w:p>
            <w:pPr>
              <w:spacing w:line="320" w:lineRule="exact"/>
              <w:rPr>
                <w:rFonts w:hint="eastAsia" w:ascii="宋体" w:hAnsi="宋体" w:cs="宋体"/>
                <w:lang w:bidi="ar"/>
              </w:rPr>
            </w:pPr>
            <w:r>
              <w:rPr>
                <w:rFonts w:hint="eastAsia" w:ascii="宋体" w:hAnsi="宋体" w:cs="宋体"/>
                <w:lang w:bidi="ar"/>
              </w:rPr>
            </w:r>
            <w:r/>
          </w:p>
        </w:tc>
      </w:tr>
      <w:tr>
        <w:trPr/>
        <w:tc>
          <w:tcPr>
            <w:tcW w:w="586"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1</w:t>
            </w:r>
            <w:r/>
          </w:p>
        </w:tc>
        <w:tc>
          <w:tcPr>
            <w:tcW w:w="1699"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auto"/>
                <w:lang w:bidi="ar"/>
              </w:rPr>
              <w:t xml:space="preserve">万兆光模块</w:t>
            </w:r>
            <w:r/>
          </w:p>
        </w:tc>
        <w:tc>
          <w:tcPr>
            <w:tcW w:w="3240" w:type="dxa"/>
            <w:vAlign w:val="center"/>
            <w:textDirection w:val="lrTb"/>
            <w:noWrap w:val="false"/>
          </w:tcPr>
          <w:p>
            <w:pPr>
              <w:jc w:val="left"/>
              <w:spacing w:line="320" w:lineRule="exact"/>
              <w:widowControl/>
              <w:rPr>
                <w:rFonts w:hint="eastAsia" w:ascii="宋体" w:hAnsi="宋体" w:cs="宋体"/>
                <w:lang w:bidi="ar"/>
              </w:rPr>
            </w:pPr>
            <w:r>
              <w:rPr>
                <w:rFonts w:hint="eastAsia" w:asciiTheme="minorEastAsia" w:hAnsiTheme="minorEastAsia" w:eastAsiaTheme="minorEastAsia" w:cstheme="minorEastAsia"/>
                <w:color w:val="auto"/>
                <w:lang w:bidi="ar"/>
              </w:rPr>
              <w:t xml:space="preserve">★光收发一体模块SFP+ 万兆模块(1310nm、10km、LC)，光模块序列号官网可查。</w:t>
            </w:r>
            <w:r/>
          </w:p>
        </w:tc>
        <w:tc>
          <w:tcPr>
            <w:tcW w:w="2997" w:type="dxa"/>
            <w:vAlign w:val="center"/>
            <w:textDirection w:val="lrTb"/>
            <w:noWrap w:val="false"/>
          </w:tcPr>
          <w:p>
            <w:pPr>
              <w:spacing w:line="320" w:lineRule="exact"/>
              <w:rPr>
                <w:rFonts w:hint="eastAsia" w:ascii="宋体" w:hAnsi="宋体" w:cs="宋体"/>
                <w:lang w:bidi="ar"/>
              </w:rPr>
            </w:pPr>
            <w:r>
              <w:rPr>
                <w:rFonts w:hint="eastAsia" w:asciiTheme="minorEastAsia" w:hAnsiTheme="minorEastAsia" w:eastAsiaTheme="minorEastAsia" w:cstheme="minorEastAsia"/>
                <w:b/>
                <w:bCs/>
                <w:color w:val="auto"/>
                <w:lang w:bidi="ar"/>
              </w:rPr>
              <w:t xml:space="preserve">光模块序列号官网或者400或邮件方式可查,提供官网查询截图（含链接地址）或400电话号码或邮件地址。</w:t>
            </w:r>
            <w:r/>
          </w:p>
        </w:tc>
      </w:tr>
      <w:tr>
        <w:trPr/>
        <w:tc>
          <w:tcPr>
            <w:tcW w:w="586"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2</w:t>
            </w:r>
            <w:r/>
          </w:p>
        </w:tc>
        <w:tc>
          <w:tcPr>
            <w:tcW w:w="1699"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auto"/>
                <w:lang w:bidi="ar"/>
              </w:rPr>
              <w:t xml:space="preserve">千兆光模块</w:t>
            </w:r>
            <w:r/>
          </w:p>
        </w:tc>
        <w:tc>
          <w:tcPr>
            <w:tcW w:w="3240" w:type="dxa"/>
            <w:vAlign w:val="center"/>
            <w:textDirection w:val="lrTb"/>
            <w:noWrap w:val="false"/>
          </w:tcPr>
          <w:p>
            <w:pPr>
              <w:jc w:val="left"/>
              <w:spacing w:line="320" w:lineRule="exact"/>
              <w:widowControl/>
              <w:rPr>
                <w:rFonts w:hint="eastAsia" w:ascii="宋体" w:hAnsi="宋体" w:cs="宋体"/>
                <w:lang w:bidi="ar"/>
              </w:rPr>
            </w:pPr>
            <w:r>
              <w:rPr>
                <w:rFonts w:hint="eastAsia" w:asciiTheme="minorEastAsia" w:hAnsiTheme="minorEastAsia" w:eastAsiaTheme="minorEastAsia" w:cstheme="minorEastAsia"/>
                <w:color w:val="auto"/>
                <w:lang w:bidi="ar"/>
              </w:rPr>
              <w:t xml:space="preserve">★光收发一体模块-SFP（1310nm、LC、10km），光模块序列号官网可查。</w:t>
            </w:r>
            <w:r/>
          </w:p>
        </w:tc>
        <w:tc>
          <w:tcPr>
            <w:tcW w:w="2997" w:type="dxa"/>
            <w:vAlign w:val="center"/>
            <w:textDirection w:val="lrTb"/>
            <w:noWrap w:val="false"/>
          </w:tcPr>
          <w:p>
            <w:pPr>
              <w:spacing w:line="320" w:lineRule="exact"/>
              <w:rPr>
                <w:rFonts w:hint="eastAsia" w:ascii="宋体" w:hAnsi="宋体" w:cs="宋体"/>
                <w:lang w:bidi="ar"/>
              </w:rPr>
            </w:pPr>
            <w:r>
              <w:rPr>
                <w:rFonts w:hint="eastAsia" w:asciiTheme="minorEastAsia" w:hAnsiTheme="minorEastAsia" w:eastAsiaTheme="minorEastAsia" w:cstheme="minorEastAsia"/>
                <w:b/>
                <w:bCs/>
                <w:color w:val="auto"/>
                <w:lang w:bidi="ar"/>
              </w:rPr>
              <w:t xml:space="preserve">光模块序列号官网或者400或邮件方式可查,提供官网查询截图（含链接地址）或400电话号码或邮件地址。</w:t>
            </w:r>
            <w:r/>
          </w:p>
        </w:tc>
      </w:tr>
      <w:tr>
        <w:trPr/>
        <w:tc>
          <w:tcPr>
            <w:shd w:val="clear" w:color="auto" w:fill="auto"/>
            <w:tcW w:w="0" w:type="auto"/>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三</w:t>
            </w:r>
            <w:r/>
          </w:p>
        </w:tc>
        <w:tc>
          <w:tcPr>
            <w:shd w:val="clear" w:color="auto" w:fill="auto"/>
            <w:tcW w:w="1699" w:type="dxa"/>
            <w:vAlign w:val="center"/>
            <w:textDirection w:val="lrTb"/>
            <w:noWrap w:val="false"/>
          </w:tcPr>
          <w:p>
            <w:pPr>
              <w:jc w:val="left"/>
              <w:spacing w:line="400" w:lineRule="exact"/>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网络运维管理</w:t>
            </w:r>
            <w:r/>
          </w:p>
        </w:tc>
        <w:tc>
          <w:tcPr>
            <w:tcW w:w="3240" w:type="dxa"/>
            <w:vAlign w:val="center"/>
            <w:textDirection w:val="lrTb"/>
            <w:noWrap w:val="false"/>
          </w:tcPr>
          <w:p>
            <w:pPr>
              <w:jc w:val="left"/>
              <w:spacing w:line="320" w:lineRule="exact"/>
              <w:widowControl/>
              <w:rPr>
                <w:rFonts w:hint="eastAsia" w:ascii="宋体" w:hAnsi="宋体" w:cs="宋体"/>
                <w:lang w:bidi="ar"/>
              </w:rPr>
            </w:pPr>
            <w:r>
              <w:rPr>
                <w:rFonts w:hint="eastAsia" w:ascii="宋体" w:hAnsi="宋体" w:cs="宋体"/>
                <w:lang w:bidi="ar"/>
              </w:rPr>
            </w:r>
            <w:r/>
          </w:p>
        </w:tc>
        <w:tc>
          <w:tcPr>
            <w:tcW w:w="2997" w:type="dxa"/>
            <w:vAlign w:val="center"/>
            <w:textDirection w:val="lrTb"/>
            <w:noWrap w:val="false"/>
          </w:tcPr>
          <w:p>
            <w:pPr>
              <w:spacing w:line="320" w:lineRule="exact"/>
              <w:rPr>
                <w:rFonts w:hint="eastAsia" w:ascii="宋体" w:hAnsi="宋体" w:cs="宋体"/>
                <w:lang w:bidi="ar"/>
              </w:rPr>
            </w:pPr>
            <w:r>
              <w:rPr>
                <w:rFonts w:hint="eastAsia" w:ascii="宋体" w:hAnsi="宋体" w:cs="宋体"/>
                <w:lang w:bidi="ar"/>
              </w:rPr>
            </w:r>
            <w:r/>
          </w:p>
        </w:tc>
      </w:tr>
      <w:tr>
        <w:trPr/>
        <w:tc>
          <w:tcPr>
            <w:shd w:val="clear" w:color="auto" w:fill="auto"/>
            <w:tcW w:w="586"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1</w:t>
            </w:r>
            <w:r/>
          </w:p>
        </w:tc>
        <w:tc>
          <w:tcPr>
            <w:shd w:val="clear" w:color="auto" w:fill="auto"/>
            <w:tcW w:w="1699"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lang w:bidi="ar"/>
              </w:rPr>
              <w:t xml:space="preserve">网络管理系统</w:t>
            </w:r>
            <w:r/>
          </w:p>
        </w:tc>
        <w:tc>
          <w:tcPr>
            <w:tcW w:w="3240" w:type="dxa"/>
            <w:vAlign w:val="center"/>
            <w:textDirection w:val="lrTb"/>
            <w:noWrap w:val="false"/>
          </w:tcPr>
          <w:p>
            <w:pPr>
              <w:jc w:val="left"/>
              <w:spacing w:line="320" w:lineRule="exact"/>
              <w:widowControl/>
              <w:rPr>
                <w:rFonts w:hint="eastAsia" w:ascii="宋体" w:hAnsi="宋体" w:cs="宋体"/>
                <w:lang w:bidi="ar"/>
              </w:rPr>
            </w:pPr>
            <w:r>
              <w:rPr>
                <w:rFonts w:hint="eastAsia" w:asciiTheme="minorEastAsia" w:hAnsiTheme="minorEastAsia" w:eastAsiaTheme="minorEastAsia" w:cstheme="minorEastAsia"/>
                <w:color w:val="000000"/>
                <w:lang w:bidi="ar"/>
              </w:rPr>
              <w:t xml:space="preserve">★6.网络设备管理需提供授权不少于1450（有线设备600台、无线设备850台）个，哑终端授权不少于100个。</w:t>
            </w:r>
            <w:r/>
          </w:p>
        </w:tc>
        <w:tc>
          <w:tcPr>
            <w:tcW w:w="2997" w:type="dxa"/>
            <w:vAlign w:val="center"/>
            <w:textDirection w:val="lrTb"/>
            <w:noWrap w:val="false"/>
          </w:tcPr>
          <w:p>
            <w:pPr>
              <w:spacing w:line="320" w:lineRule="exact"/>
              <w:rPr>
                <w:rFonts w:hint="eastAsia" w:ascii="宋体" w:hAnsi="宋体" w:cs="宋体"/>
                <w:lang w:bidi="ar"/>
              </w:rPr>
            </w:pPr>
            <w:r>
              <w:rPr>
                <w:rFonts w:hint="eastAsia" w:asciiTheme="minorEastAsia" w:hAnsiTheme="minorEastAsia" w:eastAsiaTheme="minorEastAsia" w:cstheme="minorEastAsia"/>
                <w:color w:val="000000"/>
                <w:lang w:bidi="ar"/>
              </w:rPr>
              <w:t xml:space="preserve">提供承诺函并加盖供应商公章</w:t>
            </w:r>
            <w:r>
              <w:rPr>
                <w:rFonts w:hint="eastAsia" w:asciiTheme="minorEastAsia" w:hAnsiTheme="minorEastAsia" w:eastAsiaTheme="minorEastAsia" w:cstheme="minorEastAsia"/>
                <w:color w:val="000000"/>
                <w:lang w:bidi="ar"/>
              </w:rPr>
              <w:br/>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lang w:bidi="ar"/>
              </w:rPr>
            </w:pPr>
            <w:r>
              <w:rPr>
                <w:rFonts w:hint="eastAsia" w:ascii="宋体" w:hAnsi="宋体" w:cs="宋体"/>
                <w:color w:val="auto"/>
              </w:rPr>
              <w:t xml:space="preserve">★7.平台需能够运行在国产化服务器上，</w:t>
            </w:r>
            <w:r>
              <w:rPr>
                <w:rFonts w:hint="eastAsia" w:ascii="宋体" w:hAnsi="宋体" w:cs="宋体"/>
                <w:color w:val="auto"/>
                <w:lang w:val="en-US" w:eastAsia="zh-CN"/>
              </w:rPr>
              <w:t xml:space="preserve">实配</w:t>
            </w:r>
            <w:r>
              <w:rPr>
                <w:rFonts w:hint="eastAsia" w:asciiTheme="minorEastAsia" w:hAnsiTheme="minorEastAsia" w:eastAsiaTheme="minorEastAsia" w:cstheme="minorEastAsia"/>
                <w:color w:val="auto"/>
                <w:lang w:bidi="ar"/>
              </w:rPr>
              <w:t xml:space="preserve">符合信创要求的</w:t>
            </w:r>
            <w:r>
              <w:rPr>
                <w:rFonts w:hint="eastAsia" w:asciiTheme="minorEastAsia" w:hAnsiTheme="minorEastAsia" w:eastAsiaTheme="minorEastAsia" w:cstheme="minorEastAsia"/>
                <w:color w:val="auto"/>
                <w:lang w:val="en-US" w:eastAsia="zh-CN" w:bidi="ar"/>
              </w:rPr>
              <w:t xml:space="preserve">正版软件</w:t>
            </w:r>
            <w:r>
              <w:rPr>
                <w:rFonts w:hint="eastAsia" w:ascii="宋体" w:hAnsi="宋体" w:cs="宋体"/>
                <w:color w:val="auto"/>
              </w:rPr>
              <w:t xml:space="preserve">。</w:t>
            </w:r>
            <w:r/>
          </w:p>
        </w:tc>
        <w:tc>
          <w:tcPr>
            <w:tcW w:w="2997" w:type="dxa"/>
            <w:vAlign w:val="center"/>
            <w:textDirection w:val="lrTb"/>
            <w:noWrap w:val="false"/>
          </w:tcPr>
          <w:p>
            <w:pPr>
              <w:spacing w:line="320" w:lineRule="exact"/>
              <w:rPr>
                <w:rFonts w:hint="eastAsia" w:ascii="宋体" w:hAnsi="宋体" w:cs="宋体"/>
                <w:lang w:bidi="ar"/>
              </w:rPr>
            </w:pPr>
            <w:r>
              <w:rPr>
                <w:rFonts w:hint="eastAsia" w:ascii="宋体" w:hAnsi="宋体" w:cs="宋体"/>
                <w:color w:val="auto"/>
              </w:rPr>
              <w:t xml:space="preserve">提供承诺函并加盖供应商公章</w:t>
            </w:r>
            <w:r/>
          </w:p>
        </w:tc>
      </w:tr>
      <w:tr>
        <w:trPr/>
        <w:tc>
          <w:tcPr>
            <w:tcW w:w="586"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四</w:t>
            </w:r>
            <w:r/>
          </w:p>
        </w:tc>
        <w:tc>
          <w:tcPr>
            <w:tcW w:w="1699" w:type="dxa"/>
            <w:vAlign w:val="center"/>
            <w:textDirection w:val="lrTb"/>
            <w:noWrap w:val="false"/>
          </w:tcPr>
          <w:p>
            <w:pPr>
              <w:jc w:val="left"/>
              <w:spacing w:line="400" w:lineRule="exact"/>
              <w:rPr>
                <w:rFonts w:hint="eastAsia" w:ascii="宋体" w:hAnsi="宋体" w:cs="宋体"/>
              </w:rPr>
            </w:pPr>
            <w:r>
              <w:rPr>
                <w:rFonts w:hint="eastAsia" w:asciiTheme="minorEastAsia" w:hAnsiTheme="minorEastAsia" w:eastAsiaTheme="minorEastAsia" w:cstheme="minorEastAsia"/>
                <w:color w:val="000000"/>
                <w:lang w:bidi="ar"/>
              </w:rPr>
              <w:t xml:space="preserve">机房业务交换机</w:t>
            </w:r>
            <w:r/>
          </w:p>
        </w:tc>
        <w:tc>
          <w:tcPr>
            <w:tcW w:w="3240" w:type="dxa"/>
            <w:vAlign w:val="center"/>
            <w:textDirection w:val="lrTb"/>
            <w:noWrap w:val="false"/>
          </w:tcPr>
          <w:p>
            <w:pPr>
              <w:jc w:val="left"/>
              <w:spacing w:line="320" w:lineRule="exact"/>
              <w:widowControl/>
              <w:rPr>
                <w:rFonts w:hint="eastAsia" w:ascii="宋体" w:hAnsi="宋体" w:cs="宋体"/>
                <w:lang w:bidi="ar"/>
              </w:rPr>
            </w:pPr>
            <w:r>
              <w:rPr>
                <w:rFonts w:hint="eastAsia" w:ascii="宋体" w:hAnsi="宋体" w:cs="宋体"/>
                <w:lang w:bidi="ar"/>
              </w:rPr>
            </w:r>
            <w:r/>
          </w:p>
        </w:tc>
        <w:tc>
          <w:tcPr>
            <w:tcW w:w="2997" w:type="dxa"/>
            <w:vAlign w:val="center"/>
            <w:textDirection w:val="lrTb"/>
            <w:noWrap w:val="false"/>
          </w:tcPr>
          <w:p>
            <w:pPr>
              <w:spacing w:line="320" w:lineRule="exact"/>
              <w:rPr>
                <w:rFonts w:hint="eastAsia" w:ascii="宋体" w:hAnsi="宋体" w:cs="宋体"/>
                <w:lang w:bidi="ar"/>
              </w:rPr>
            </w:pPr>
            <w:r>
              <w:rPr>
                <w:rFonts w:hint="eastAsia" w:ascii="宋体" w:hAnsi="宋体" w:cs="宋体"/>
                <w:lang w:bidi="ar"/>
              </w:rPr>
            </w:r>
            <w:r/>
          </w:p>
        </w:tc>
      </w:tr>
      <w:tr>
        <w:trPr/>
        <w:tc>
          <w:tcPr>
            <w:tcW w:w="586"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1</w:t>
            </w:r>
            <w:r/>
          </w:p>
        </w:tc>
        <w:tc>
          <w:tcPr>
            <w:tcW w:w="1699"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中心机房汇聚交换机</w:t>
            </w:r>
            <w:r/>
          </w:p>
        </w:tc>
        <w:tc>
          <w:tcPr>
            <w:tcW w:w="3240" w:type="dxa"/>
            <w:vAlign w:val="center"/>
            <w:textDirection w:val="lrTb"/>
            <w:noWrap w:val="false"/>
          </w:tcPr>
          <w:p>
            <w:pPr>
              <w:jc w:val="left"/>
              <w:spacing w:line="320" w:lineRule="exact"/>
              <w:widowControl/>
              <w:rPr>
                <w:rFonts w:hint="eastAsia" w:ascii="宋体" w:hAnsi="宋体" w:cs="宋体"/>
                <w:lang w:bidi="ar"/>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1.万兆SFP+光接口数≥24个，40GE QSFP28以太网光接口≥2,电源≥2,冗余电源；</w:t>
            </w:r>
            <w:r/>
          </w:p>
        </w:tc>
        <w:tc>
          <w:tcPr>
            <w:tcW w:w="2997" w:type="dxa"/>
            <w:vAlign w:val="center"/>
            <w:textDirection w:val="lrTb"/>
            <w:noWrap w:val="false"/>
          </w:tcPr>
          <w:p>
            <w:pPr>
              <w:spacing w:line="320" w:lineRule="exact"/>
              <w:rPr>
                <w:rFonts w:hint="eastAsia" w:ascii="宋体" w:hAnsi="宋体" w:cs="宋体"/>
                <w:lang w:bidi="ar"/>
              </w:rPr>
            </w:pPr>
            <w:r>
              <w:rPr>
                <w:rFonts w:hint="eastAsia" w:ascii="宋体" w:hAnsi="宋体" w:cs="宋体"/>
              </w:rPr>
              <w:t xml:space="preserve">提供原厂白皮书或者产品画册或者（产品官网链接和截图）。</w:t>
            </w:r>
            <w:r/>
          </w:p>
        </w:tc>
      </w:tr>
      <w:tr>
        <w:trPr/>
        <w:tc>
          <w:tcPr>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1699"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3240" w:type="dxa"/>
            <w:vAlign w:val="center"/>
            <w:textDirection w:val="lrTb"/>
            <w:noWrap w:val="false"/>
          </w:tcPr>
          <w:p>
            <w:pPr>
              <w:jc w:val="left"/>
              <w:spacing w:line="320" w:lineRule="exact"/>
              <w:widowControl/>
              <w:rPr>
                <w:rFonts w:hint="eastAsia" w:ascii="宋体" w:hAnsi="宋体" w:cs="宋体"/>
                <w:lang w:bidi="ar"/>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2.交换容量≥2.56Tbps，包转发率≥720Mpps</w:t>
            </w:r>
            <w:r>
              <w:rPr>
                <w:rFonts w:hint="eastAsia" w:asciiTheme="minorEastAsia" w:hAnsiTheme="minorEastAsia" w:eastAsiaTheme="minorEastAsia" w:cstheme="minorEastAsia"/>
                <w:color w:val="000000"/>
                <w:lang w:val="en-US" w:eastAsia="zh-CN" w:bidi="ar"/>
              </w:rPr>
              <w:t xml:space="preserve">；</w:t>
            </w:r>
            <w:r/>
          </w:p>
        </w:tc>
        <w:tc>
          <w:tcPr>
            <w:tcW w:w="2997" w:type="dxa"/>
            <w:vAlign w:val="center"/>
            <w:textDirection w:val="lrTb"/>
            <w:noWrap w:val="false"/>
          </w:tcPr>
          <w:p>
            <w:pPr>
              <w:spacing w:line="320" w:lineRule="exact"/>
              <w:rPr>
                <w:rFonts w:hint="eastAsia" w:ascii="宋体" w:hAnsi="宋体" w:cs="宋体"/>
                <w:lang w:bidi="ar"/>
              </w:rPr>
            </w:pPr>
            <w:r>
              <w:rPr>
                <w:rFonts w:hint="eastAsia" w:ascii="宋体" w:hAnsi="宋体" w:cs="宋体"/>
              </w:rPr>
              <w:t xml:space="preserve">提供原厂白皮书或者产品画册或者（产品官网链接和截图）。</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lang w:bidi="ar"/>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.所投产品具备工业和信息化部颁发的进网许可证（CTA认证）</w:t>
            </w:r>
            <w:r/>
          </w:p>
        </w:tc>
        <w:tc>
          <w:tcPr>
            <w:tcW w:w="2997" w:type="dxa"/>
            <w:vAlign w:val="center"/>
            <w:textDirection w:val="lrTb"/>
            <w:noWrap w:val="false"/>
          </w:tcPr>
          <w:p>
            <w:pPr>
              <w:spacing w:line="320" w:lineRule="exact"/>
              <w:rPr>
                <w:rFonts w:hint="eastAsia" w:ascii="宋体" w:hAnsi="宋体" w:cs="宋体"/>
                <w:lang w:bidi="ar"/>
              </w:rPr>
            </w:pPr>
            <w:r>
              <w:rPr>
                <w:rFonts w:hint="eastAsia" w:asciiTheme="minorEastAsia" w:hAnsiTheme="minorEastAsia" w:eastAsiaTheme="minorEastAsia" w:cstheme="minorEastAsia"/>
                <w:color w:val="auto"/>
                <w:sz w:val="21"/>
                <w:szCs w:val="21"/>
                <w:lang w:val="en-US" w:eastAsia="zh-CN"/>
              </w:rPr>
              <w:t xml:space="preserve">投标</w:t>
            </w:r>
            <w:r>
              <w:rPr>
                <w:rFonts w:hint="eastAsia" w:asciiTheme="minorEastAsia" w:hAnsiTheme="minorEastAsia" w:eastAsiaTheme="minorEastAsia" w:cstheme="minorEastAsia"/>
                <w:color w:val="auto"/>
                <w:sz w:val="21"/>
                <w:szCs w:val="21"/>
                <w:lang w:bidi="ar"/>
              </w:rPr>
              <w:t xml:space="preserve">时须提供：进网许可证清晰扫描件；工信部官网查询结果截图，显示设备型号、生产企业、许可证编号及状态为“有效”。</w:t>
            </w:r>
            <w:r/>
          </w:p>
        </w:tc>
      </w:tr>
      <w:tr>
        <w:trPr/>
        <w:tc>
          <w:tcPr>
            <w:tcW w:w="586"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2</w:t>
            </w:r>
            <w:r/>
          </w:p>
        </w:tc>
        <w:tc>
          <w:tcPr>
            <w:tcW w:w="1699" w:type="dxa"/>
            <w:vAlign w:val="center"/>
            <w:vMerge w:val="restart"/>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000000"/>
                <w:lang w:bidi="ar"/>
              </w:rPr>
              <w:t xml:space="preserve">千兆业务网接入交换机</w:t>
            </w:r>
            <w:r/>
          </w:p>
        </w:tc>
        <w:tc>
          <w:tcPr>
            <w:tcW w:w="3240" w:type="dxa"/>
            <w:vAlign w:val="center"/>
            <w:textDirection w:val="lrTb"/>
            <w:noWrap w:val="false"/>
          </w:tcPr>
          <w:p>
            <w:pPr>
              <w:jc w:val="left"/>
              <w:spacing w:line="400" w:lineRule="exact"/>
              <w:widowControl/>
              <w:rPr>
                <w:rFonts w:hint="eastAsia" w:ascii="宋体" w:hAnsi="宋体" w:cs="宋体"/>
                <w:lang w:bidi="ar"/>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lang w:bidi="ar"/>
              </w:rPr>
              <w:t xml:space="preserve">1.交换容量≥672Gbps，包转发率≥170Mpps；</w:t>
            </w:r>
            <w:r/>
          </w:p>
        </w:tc>
        <w:tc>
          <w:tcPr>
            <w:tcW w:w="2997" w:type="dxa"/>
            <w:vAlign w:val="center"/>
            <w:textDirection w:val="lrTb"/>
            <w:noWrap w:val="false"/>
          </w:tcPr>
          <w:p>
            <w:pPr>
              <w:spacing w:line="320" w:lineRule="exact"/>
              <w:rPr>
                <w:rFonts w:hint="eastAsia" w:ascii="宋体" w:hAnsi="宋体" w:cs="宋体"/>
                <w:lang w:bidi="ar"/>
              </w:rPr>
            </w:pPr>
            <w:r>
              <w:rPr>
                <w:rFonts w:hint="eastAsia" w:ascii="宋体" w:hAnsi="宋体" w:cs="宋体"/>
              </w:rPr>
              <w:t xml:space="preserve">提供原厂白皮书或者产品画</w:t>
            </w:r>
            <w:r>
              <w:rPr>
                <w:rFonts w:hint="eastAsia" w:ascii="宋体" w:hAnsi="宋体" w:cs="宋体"/>
                <w:color w:val="auto"/>
              </w:rPr>
              <w:t xml:space="preserve">册或者（产品官网链接和截图）。</w:t>
            </w:r>
            <w:r/>
          </w:p>
        </w:tc>
      </w:tr>
      <w:tr>
        <w:trPr/>
        <w:tc>
          <w:tcPr>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1699"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3240" w:type="dxa"/>
            <w:vAlign w:val="center"/>
            <w:textDirection w:val="lrTb"/>
            <w:noWrap w:val="false"/>
          </w:tcPr>
          <w:p>
            <w:pPr>
              <w:jc w:val="left"/>
              <w:spacing w:line="400" w:lineRule="exact"/>
              <w:widowControl/>
              <w:rPr>
                <w:rFonts w:hint="eastAsia" w:ascii="宋体" w:hAnsi="宋体" w:cs="宋体"/>
                <w:lang w:bidi="ar"/>
              </w:rPr>
            </w:pP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bidi="ar"/>
              </w:rPr>
              <w:t xml:space="preserve">2.支持24个千兆电口，4个万兆SFP+；</w:t>
            </w:r>
            <w:r/>
          </w:p>
        </w:tc>
        <w:tc>
          <w:tcPr>
            <w:tcW w:w="2997" w:type="dxa"/>
            <w:vAlign w:val="center"/>
            <w:textDirection w:val="lrTb"/>
            <w:noWrap w:val="false"/>
          </w:tcPr>
          <w:p>
            <w:pPr>
              <w:spacing w:line="320" w:lineRule="exact"/>
              <w:rPr>
                <w:rFonts w:hint="eastAsia" w:ascii="宋体" w:hAnsi="宋体" w:cs="宋体"/>
                <w:lang w:bidi="ar"/>
              </w:rPr>
            </w:pPr>
            <w:r>
              <w:rPr>
                <w:rFonts w:hint="eastAsia" w:ascii="宋体" w:hAnsi="宋体" w:cs="宋体"/>
                <w:color w:val="auto"/>
              </w:rPr>
              <w:t xml:space="preserve">提供原厂白皮书或者产品画册或者（产品官网链接和截图）。</w:t>
            </w:r>
            <w:r/>
          </w:p>
        </w:tc>
      </w:tr>
      <w:tr>
        <w:trPr/>
        <w:tc>
          <w:tcPr>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1699"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3240" w:type="dxa"/>
            <w:vAlign w:val="center"/>
            <w:textDirection w:val="lrTb"/>
            <w:noWrap w:val="false"/>
          </w:tcPr>
          <w:p>
            <w:pPr>
              <w:jc w:val="left"/>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bidi="ar"/>
              </w:rPr>
              <w:t xml:space="preserve">9.实配：双电源，满配光收发一体模块SFP+ 万兆模块(1310nm、10km、LC)。</w:t>
            </w:r>
            <w:r/>
          </w:p>
        </w:tc>
        <w:tc>
          <w:tcPr>
            <w:tcW w:w="2997" w:type="dxa"/>
            <w:vAlign w:val="center"/>
            <w:textDirection w:val="lrTb"/>
            <w:noWrap w:val="false"/>
          </w:tcPr>
          <w:p>
            <w:pPr>
              <w:spacing w:line="320" w:lineRule="exact"/>
              <w:rPr>
                <w:rFonts w:hint="eastAsia" w:ascii="宋体" w:hAnsi="宋体" w:cs="宋体"/>
                <w:color w:val="auto"/>
              </w:rPr>
            </w:pPr>
            <w:r>
              <w:rPr>
                <w:rFonts w:hint="eastAsia" w:asciiTheme="minorEastAsia" w:hAnsiTheme="minorEastAsia" w:eastAsiaTheme="minorEastAsia" w:cstheme="minorEastAsia"/>
                <w:color w:val="auto"/>
                <w:lang w:bidi="ar"/>
              </w:rPr>
              <w:t xml:space="preserve">提供承诺函加盖投标公章。</w:t>
            </w:r>
            <w:r/>
          </w:p>
        </w:tc>
      </w:tr>
      <w:tr>
        <w:trPr/>
        <w:tc>
          <w:tcPr>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1699"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3240" w:type="dxa"/>
            <w:vAlign w:val="center"/>
            <w:textDirection w:val="lrTb"/>
            <w:noWrap w:val="false"/>
          </w:tcPr>
          <w:p>
            <w:pPr>
              <w:jc w:val="left"/>
              <w:spacing w:line="400" w:lineRule="exact"/>
              <w:widowControl/>
              <w:rPr>
                <w:rFonts w:hint="eastAsia" w:asciiTheme="minorEastAsia" w:hAnsiTheme="minorEastAsia" w:eastAsiaTheme="minorEastAsia" w:cstheme="minorEastAsia"/>
                <w:color w:val="auto"/>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10</w:t>
            </w:r>
            <w:r>
              <w:rPr>
                <w:rFonts w:hint="eastAsia" w:ascii="宋体" w:hAnsi="宋体" w:cs="宋体"/>
                <w:color w:val="auto"/>
                <w:sz w:val="21"/>
                <w:szCs w:val="21"/>
              </w:rPr>
              <w:t xml:space="preserve">.所投产品具备工业和信息化部颁发的进网许可证（CTA认证）</w:t>
            </w:r>
            <w:r/>
          </w:p>
        </w:tc>
        <w:tc>
          <w:tcPr>
            <w:tcW w:w="2997" w:type="dxa"/>
            <w:vAlign w:val="center"/>
            <w:textDirection w:val="lrTb"/>
            <w:noWrap w:val="false"/>
          </w:tcPr>
          <w:p>
            <w:pPr>
              <w:spacing w:line="320" w:lineRule="exact"/>
              <w:rPr>
                <w:rFonts w:hint="eastAsia" w:asciiTheme="minorEastAsia" w:hAnsiTheme="minorEastAsia" w:eastAsiaTheme="minorEastAsia" w:cstheme="minorEastAsia"/>
                <w:color w:val="auto"/>
                <w:lang w:bidi="ar"/>
              </w:rPr>
            </w:pPr>
            <w:r>
              <w:rPr>
                <w:rFonts w:hint="eastAsia" w:asciiTheme="minorEastAsia" w:hAnsiTheme="minorEastAsia" w:eastAsiaTheme="minorEastAsia" w:cstheme="minorEastAsia"/>
                <w:color w:val="auto"/>
                <w:sz w:val="21"/>
                <w:szCs w:val="21"/>
                <w:lang w:val="en-US" w:eastAsia="zh-CN"/>
              </w:rPr>
              <w:t xml:space="preserve">投标</w:t>
            </w:r>
            <w:r>
              <w:rPr>
                <w:rFonts w:hint="eastAsia" w:asciiTheme="minorEastAsia" w:hAnsiTheme="minorEastAsia" w:eastAsiaTheme="minorEastAsia" w:cstheme="minorEastAsia"/>
                <w:color w:val="auto"/>
                <w:sz w:val="21"/>
                <w:szCs w:val="21"/>
                <w:lang w:bidi="ar"/>
              </w:rPr>
              <w:t xml:space="preserve">时须提供：进网许可证清晰扫描件；工信部官网查询结果截图，显示设备型号、生产企业、许可证编号及状态为“有效”。</w:t>
            </w:r>
            <w:r/>
          </w:p>
        </w:tc>
      </w:tr>
      <w:tr>
        <w:trPr/>
        <w:tc>
          <w:tcPr>
            <w:tcW w:w="586"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t xml:space="preserve">五</w:t>
            </w:r>
            <w:r/>
          </w:p>
        </w:tc>
        <w:tc>
          <w:tcPr>
            <w:tcW w:w="1699" w:type="dxa"/>
            <w:vAlign w:val="center"/>
            <w:textDirection w:val="lrTb"/>
            <w:noWrap w:val="false"/>
          </w:tcPr>
          <w:p>
            <w:pPr>
              <w:jc w:val="left"/>
              <w:spacing w:line="400" w:lineRule="exact"/>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t xml:space="preserve">一期汇聚交换机</w:t>
            </w:r>
            <w:r/>
          </w:p>
        </w:tc>
        <w:tc>
          <w:tcPr>
            <w:tcW w:w="3240" w:type="dxa"/>
            <w:vAlign w:val="center"/>
            <w:textDirection w:val="lrTb"/>
            <w:noWrap w:val="false"/>
          </w:tcPr>
          <w:p>
            <w:pPr>
              <w:jc w:val="left"/>
              <w:spacing w:line="400" w:lineRule="exact"/>
              <w:widowControl/>
              <w:rPr>
                <w:rFonts w:hint="eastAsia" w:ascii="宋体" w:hAnsi="宋体" w:cs="宋体"/>
                <w:color w:val="auto"/>
                <w:sz w:val="21"/>
                <w:szCs w:val="21"/>
              </w:rPr>
            </w:pPr>
            <w:r>
              <w:rPr>
                <w:rFonts w:hint="eastAsia" w:ascii="宋体" w:hAnsi="宋体" w:cs="宋体"/>
                <w:color w:val="auto"/>
                <w:sz w:val="21"/>
                <w:szCs w:val="21"/>
              </w:rPr>
            </w:r>
            <w:r/>
          </w:p>
        </w:tc>
        <w:tc>
          <w:tcPr>
            <w:tcW w:w="2997"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r>
            <w:r/>
          </w:p>
        </w:tc>
      </w:tr>
      <w:tr>
        <w:trPr/>
        <w:tc>
          <w:tcPr>
            <w:tcW w:w="586"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t xml:space="preserve">1</w:t>
            </w:r>
            <w:r/>
          </w:p>
        </w:tc>
        <w:tc>
          <w:tcPr>
            <w:tcW w:w="1699"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t xml:space="preserve">汇聚交换机</w:t>
            </w:r>
            <w:r/>
          </w:p>
        </w:tc>
        <w:tc>
          <w:tcPr>
            <w:tcW w:w="3240" w:type="dxa"/>
            <w:vAlign w:val="center"/>
            <w:textDirection w:val="lrTb"/>
            <w:noWrap w:val="false"/>
          </w:tcPr>
          <w:p>
            <w:pPr>
              <w:jc w:val="left"/>
              <w:spacing w:line="400" w:lineRule="exact"/>
              <w:widowControl/>
              <w:rPr>
                <w:rFonts w:hint="eastAsia" w:ascii="宋体" w:hAnsi="宋体" w:cs="宋体"/>
                <w:color w:val="auto"/>
                <w:sz w:val="21"/>
                <w:szCs w:val="21"/>
              </w:rPr>
            </w:pPr>
            <w:r>
              <w:rPr>
                <w:rFonts w:hint="eastAsia" w:ascii="宋体" w:hAnsi="宋体" w:cs="宋体"/>
                <w:lang w:bidi="ar"/>
              </w:rPr>
              <w:t xml:space="preserve">★3.采用先进的CLOS交换架构。</w:t>
            </w:r>
            <w:r/>
          </w:p>
        </w:tc>
        <w:tc>
          <w:tcPr>
            <w:tcW w:w="2997" w:type="dxa"/>
            <w:vAlign w:val="center"/>
            <w:textDirection w:val="lrTb"/>
            <w:noWrap w:val="false"/>
          </w:tcPr>
          <w:p>
            <w:pPr>
              <w:jc w:val="left"/>
              <w:spacing w:line="400" w:lineRule="exact"/>
              <w:widowControl/>
              <w:rPr>
                <w:rFonts w:hint="eastAsia" w:asciiTheme="minorEastAsia" w:hAnsiTheme="minorEastAsia" w:eastAsiaTheme="minorEastAsia" w:cstheme="minorEastAsia"/>
                <w:color w:val="auto"/>
                <w:sz w:val="21"/>
                <w:szCs w:val="21"/>
                <w:lang w:val="en-US" w:eastAsia="zh-CN"/>
              </w:rPr>
            </w:pPr>
            <w:r>
              <w:rPr>
                <w:rFonts w:hint="eastAsia" w:ascii="宋体" w:hAnsi="宋体" w:cs="宋体"/>
              </w:rPr>
              <w:t xml:space="preserve">提供原厂白皮书或者产品画册或者（产品官网链接和截图）。</w:t>
            </w:r>
            <w:r/>
          </w:p>
        </w:tc>
      </w:tr>
      <w:tr>
        <w:trPr/>
        <w:tc>
          <w:tcPr>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1699" w:type="dxa"/>
            <w:vAlign w:val="center"/>
            <w:vMerge w:val="continue"/>
            <w:textDirection w:val="lrTb"/>
            <w:noWrap w:val="false"/>
          </w:tcPr>
          <w:p>
            <w:pPr>
              <w:jc w:val="left"/>
              <w:spacing w:line="400" w:lineRule="exact"/>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3240" w:type="dxa"/>
            <w:vAlign w:val="center"/>
            <w:textDirection w:val="lrTb"/>
            <w:noWrap w:val="false"/>
          </w:tcPr>
          <w:p>
            <w:pPr>
              <w:jc w:val="left"/>
              <w:spacing w:line="400" w:lineRule="exact"/>
              <w:widowControl/>
              <w:rPr>
                <w:rFonts w:hint="eastAsia" w:ascii="宋体" w:hAnsi="宋体" w:cs="宋体"/>
                <w:color w:val="auto"/>
                <w:sz w:val="21"/>
                <w:szCs w:val="21"/>
              </w:rPr>
            </w:pPr>
            <w:r>
              <w:rPr>
                <w:rFonts w:hint="eastAsia" w:ascii="宋体" w:hAnsi="宋体" w:cs="宋体"/>
                <w:lang w:bidi="ar"/>
              </w:rPr>
              <w:t xml:space="preserve">★4.主控槽位数≥2，业务槽位数≥6；整机交换容量（实际值、非后期开发的理论最高值）≥76 Tbps，包转发率或包转发能力（实际值、非后期开发的理论最高值）≥76000 Mpps。</w:t>
            </w:r>
            <w:r/>
          </w:p>
        </w:tc>
        <w:tc>
          <w:tcPr>
            <w:tcW w:w="2997" w:type="dxa"/>
            <w:vAlign w:val="center"/>
            <w:textDirection w:val="lrTb"/>
            <w:noWrap w:val="false"/>
          </w:tcPr>
          <w:p>
            <w:pPr>
              <w:jc w:val="left"/>
              <w:spacing w:line="400" w:lineRule="exact"/>
              <w:widowControl/>
              <w:rPr>
                <w:rFonts w:hint="eastAsia" w:asciiTheme="minorEastAsia" w:hAnsiTheme="minorEastAsia" w:eastAsiaTheme="minorEastAsia" w:cstheme="minorEastAsia"/>
                <w:color w:val="auto"/>
                <w:sz w:val="21"/>
                <w:szCs w:val="21"/>
                <w:lang w:val="en-US" w:eastAsia="zh-CN"/>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1699" w:type="dxa"/>
            <w:vAlign w:val="center"/>
            <w:vMerge w:val="continue"/>
            <w:textDirection w:val="lrTb"/>
            <w:noWrap w:val="false"/>
          </w:tcPr>
          <w:p>
            <w:pPr>
              <w:jc w:val="left"/>
              <w:spacing w:line="400" w:lineRule="exact"/>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3240" w:type="dxa"/>
            <w:vAlign w:val="center"/>
            <w:textDirection w:val="lrTb"/>
            <w:noWrap w:val="false"/>
          </w:tcPr>
          <w:p>
            <w:pPr>
              <w:jc w:val="left"/>
              <w:spacing w:line="400" w:lineRule="exact"/>
              <w:widowControl/>
              <w:rPr>
                <w:rFonts w:hint="eastAsia" w:ascii="宋体" w:hAnsi="宋体" w:cs="宋体"/>
                <w:b/>
                <w:bCs/>
                <w:lang w:bidi="ar"/>
              </w:rPr>
            </w:pPr>
            <w:r>
              <w:rPr>
                <w:rFonts w:hint="eastAsia" w:ascii="宋体" w:hAnsi="宋体" w:cs="宋体"/>
                <w:b/>
                <w:bCs/>
                <w:lang w:bidi="ar"/>
              </w:rPr>
              <w:t xml:space="preserve">虚拟化：</w:t>
            </w:r>
            <w:r/>
          </w:p>
          <w:p>
            <w:pPr>
              <w:jc w:val="left"/>
              <w:spacing w:line="400" w:lineRule="exact"/>
              <w:widowControl/>
              <w:rPr>
                <w:rFonts w:hint="eastAsia" w:ascii="宋体" w:hAnsi="宋体" w:cs="宋体"/>
              </w:rPr>
            </w:pPr>
            <w:r>
              <w:rPr>
                <w:rFonts w:hint="eastAsia" w:ascii="宋体" w:hAnsi="宋体" w:cs="宋体"/>
              </w:rPr>
              <w:t xml:space="preserve">★1.支持横向虚拟化技术可将多台设备虚拟为一台，</w:t>
            </w:r>
            <w:r/>
          </w:p>
        </w:tc>
        <w:tc>
          <w:tcPr>
            <w:tcW w:w="2997"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提供原厂白皮书或者产品画册或者（产品官网链接和截图）。</w:t>
            </w:r>
            <w:r/>
          </w:p>
        </w:tc>
      </w:tr>
      <w:tr>
        <w:trPr/>
        <w:tc>
          <w:tcPr>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1699" w:type="dxa"/>
            <w:vAlign w:val="center"/>
            <w:vMerge w:val="continue"/>
            <w:textDirection w:val="lrTb"/>
            <w:noWrap w:val="false"/>
          </w:tcPr>
          <w:p>
            <w:pPr>
              <w:jc w:val="left"/>
              <w:spacing w:line="400" w:lineRule="exact"/>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3240" w:type="dxa"/>
            <w:vAlign w:val="center"/>
            <w:textDirection w:val="lrTb"/>
            <w:noWrap w:val="false"/>
          </w:tcPr>
          <w:p>
            <w:pPr>
              <w:jc w:val="left"/>
              <w:spacing w:line="400" w:lineRule="exact"/>
              <w:widowControl/>
              <w:rPr>
                <w:rFonts w:hint="eastAsia" w:ascii="宋体" w:hAnsi="宋体" w:cs="宋体"/>
                <w:b/>
                <w:bCs/>
                <w:lang w:bidi="ar"/>
              </w:rPr>
            </w:pPr>
            <w:r>
              <w:rPr>
                <w:rFonts w:hint="eastAsia" w:ascii="宋体" w:hAnsi="宋体" w:cs="宋体"/>
                <w:b/>
                <w:bCs/>
                <w:lang w:bidi="ar"/>
              </w:rPr>
              <w:t xml:space="preserve">可靠性：</w:t>
            </w:r>
            <w:r/>
          </w:p>
          <w:p>
            <w:pPr>
              <w:jc w:val="left"/>
              <w:spacing w:line="400" w:lineRule="exact"/>
              <w:widowControl/>
              <w:rPr>
                <w:rFonts w:hint="eastAsia" w:ascii="宋体" w:hAnsi="宋体" w:cs="宋体"/>
              </w:rPr>
            </w:pPr>
            <w:r>
              <w:rPr>
                <w:rFonts w:hint="eastAsia" w:ascii="宋体" w:hAnsi="宋体" w:cs="宋体"/>
              </w:rPr>
              <w:t xml:space="preserve">★</w:t>
            </w:r>
            <w:r>
              <w:rPr>
                <w:rFonts w:hint="eastAsia" w:ascii="宋体" w:hAnsi="宋体" w:cs="宋体"/>
                <w:lang w:bidi="ar"/>
              </w:rPr>
              <w:t xml:space="preserve">1.支持BFD/OAM，≤3.3ms稳定均匀发包检测，提高设备的可靠性。</w:t>
            </w:r>
            <w:r/>
          </w:p>
        </w:tc>
        <w:tc>
          <w:tcPr>
            <w:tcW w:w="2997"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提供原厂白皮书或产品画册或（产品官网链接和截图）或承诺函加盖投标公章。</w:t>
            </w:r>
            <w:r/>
          </w:p>
        </w:tc>
      </w:tr>
      <w:tr>
        <w:trPr/>
        <w:tc>
          <w:tcPr>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1699" w:type="dxa"/>
            <w:vAlign w:val="center"/>
            <w:vMerge w:val="continue"/>
            <w:textDirection w:val="lrTb"/>
            <w:noWrap w:val="false"/>
          </w:tcPr>
          <w:p>
            <w:pPr>
              <w:jc w:val="left"/>
              <w:spacing w:line="400" w:lineRule="exact"/>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3240" w:type="dxa"/>
            <w:vAlign w:val="center"/>
            <w:textDirection w:val="lrTb"/>
            <w:noWrap w:val="false"/>
          </w:tcPr>
          <w:p>
            <w:pPr>
              <w:jc w:val="left"/>
              <w:spacing w:line="400" w:lineRule="exact"/>
              <w:widowControl/>
              <w:rPr>
                <w:rFonts w:hint="eastAsia" w:ascii="宋体" w:hAnsi="宋体" w:cs="宋体"/>
                <w:b/>
                <w:bCs/>
                <w:lang w:bidi="ar"/>
              </w:rPr>
            </w:pPr>
            <w:r>
              <w:rPr>
                <w:rFonts w:hint="eastAsia" w:ascii="宋体" w:hAnsi="宋体" w:cs="宋体"/>
              </w:rPr>
              <w:t xml:space="preserve">★</w:t>
            </w:r>
            <w:r>
              <w:rPr>
                <w:rFonts w:hint="eastAsia" w:ascii="宋体" w:hAnsi="宋体" w:cs="宋体"/>
                <w:b/>
                <w:bCs/>
                <w:lang w:bidi="ar"/>
              </w:rPr>
              <w:t xml:space="preserve">单台配置要求如下（</w:t>
            </w:r>
            <w:r>
              <w:rPr>
                <w:rFonts w:hint="eastAsia" w:ascii="宋体" w:hAnsi="宋体" w:cs="宋体"/>
              </w:rPr>
              <w:t xml:space="preserve">提供原厂白皮书或者产品画册或者（产品官网链接和截图）或者第三方检测机构出具的检测报告扫描件</w:t>
            </w:r>
            <w:r>
              <w:rPr>
                <w:rFonts w:hint="eastAsia" w:ascii="宋体" w:hAnsi="宋体" w:cs="宋体"/>
                <w:b/>
                <w:bCs/>
                <w:lang w:bidi="ar"/>
              </w:rPr>
              <w:t xml:space="preserve">）：</w:t>
            </w:r>
            <w:r/>
          </w:p>
          <w:p>
            <w:pPr>
              <w:jc w:val="left"/>
              <w:spacing w:line="400" w:lineRule="exact"/>
              <w:widowControl/>
              <w:rPr>
                <w:rFonts w:hint="eastAsia" w:ascii="宋体" w:hAnsi="宋体" w:cs="宋体"/>
                <w:color w:val="auto"/>
                <w:lang w:bidi="ar"/>
              </w:rPr>
            </w:pPr>
            <w:r>
              <w:rPr>
                <w:rFonts w:hint="eastAsia" w:ascii="宋体" w:hAnsi="宋体" w:cs="宋体"/>
                <w:color w:val="auto"/>
                <w:lang w:bidi="ar"/>
              </w:rPr>
              <w:t xml:space="preserve">1.1+1冗余电源、双主控引擎，业务插槽≥6；</w:t>
            </w:r>
            <w:r/>
          </w:p>
          <w:p>
            <w:pPr>
              <w:jc w:val="left"/>
              <w:spacing w:line="400" w:lineRule="exact"/>
              <w:widowControl/>
              <w:rPr>
                <w:rFonts w:hint="eastAsia" w:ascii="宋体" w:hAnsi="宋体" w:cs="宋体"/>
                <w:color w:val="auto"/>
                <w:lang w:bidi="ar"/>
              </w:rPr>
            </w:pPr>
            <w:r>
              <w:rPr>
                <w:rFonts w:hint="eastAsia" w:ascii="宋体" w:hAnsi="宋体" w:cs="宋体"/>
                <w:color w:val="auto"/>
                <w:lang w:bidi="ar"/>
              </w:rPr>
              <w:t xml:space="preserve">2.≥24个千兆电口、≥40个万兆光口、≥2个100G光口，≥2个40G光口；实配100G光模块*8、40G光模块*8。(与利旧的核心交换机共同汇聚至新机房)</w:t>
            </w:r>
            <w:r/>
          </w:p>
          <w:p>
            <w:pPr>
              <w:jc w:val="left"/>
              <w:spacing w:line="400" w:lineRule="exact"/>
              <w:widowControl/>
              <w:rPr>
                <w:rFonts w:hint="eastAsia" w:ascii="宋体" w:hAnsi="宋体" w:cs="宋体"/>
                <w:lang w:bidi="ar"/>
              </w:rPr>
            </w:pPr>
            <w:r>
              <w:rPr>
                <w:rFonts w:hint="eastAsia" w:ascii="宋体" w:hAnsi="宋体" w:cs="宋体"/>
                <w:lang w:bidi="ar"/>
              </w:rPr>
              <w:t xml:space="preserve">3.要求实配横向虚拟化功能及相应万兆虚拟化线缆；</w:t>
            </w:r>
            <w:r/>
          </w:p>
          <w:p>
            <w:pPr>
              <w:jc w:val="left"/>
              <w:spacing w:line="400" w:lineRule="exact"/>
              <w:widowControl/>
              <w:rPr>
                <w:rFonts w:hint="eastAsia" w:ascii="宋体" w:hAnsi="宋体" w:cs="宋体"/>
                <w:lang w:bidi="ar"/>
              </w:rPr>
            </w:pPr>
            <w:r>
              <w:rPr>
                <w:rFonts w:hint="eastAsia" w:ascii="宋体" w:hAnsi="宋体" w:cs="宋体"/>
                <w:lang w:bidi="ar"/>
              </w:rPr>
              <w:t xml:space="preserve">4.支持 IPv4/IPv6 双协议栈，配置IPV6功能授权；</w:t>
            </w:r>
            <w:r/>
          </w:p>
          <w:p>
            <w:pPr>
              <w:jc w:val="left"/>
              <w:spacing w:line="400" w:lineRule="exact"/>
              <w:widowControl/>
              <w:rPr>
                <w:rFonts w:hint="eastAsia" w:ascii="宋体" w:hAnsi="宋体" w:cs="宋体"/>
                <w:lang w:bidi="ar"/>
              </w:rPr>
            </w:pPr>
            <w:r>
              <w:rPr>
                <w:rFonts w:hint="eastAsia" w:ascii="宋体" w:hAnsi="宋体" w:cs="宋体"/>
                <w:lang w:bidi="ar"/>
              </w:rPr>
              <w:t xml:space="preserve">5.为保证产品的后续带宽升级能力，要求</w:t>
            </w:r>
            <w:r>
              <w:rPr>
                <w:rFonts w:hint="eastAsia" w:asciiTheme="minorEastAsia" w:hAnsiTheme="minorEastAsia" w:eastAsiaTheme="minorEastAsia" w:cstheme="minorEastAsia"/>
                <w:color w:val="000000"/>
                <w:lang w:eastAsia="zh-CN"/>
              </w:rPr>
              <w:t xml:space="preserve">投标</w:t>
            </w:r>
            <w:r>
              <w:rPr>
                <w:rFonts w:hint="eastAsia" w:ascii="宋体" w:hAnsi="宋体" w:cs="宋体"/>
                <w:lang w:bidi="ar"/>
              </w:rPr>
              <w:t xml:space="preserve">产品单业务槽位万兆端口密度≥48，40G端口密度≥12，100G端口密度≥4；</w:t>
            </w:r>
            <w:r/>
          </w:p>
          <w:p>
            <w:pPr>
              <w:jc w:val="left"/>
              <w:spacing w:line="400" w:lineRule="exact"/>
              <w:widowControl/>
              <w:rPr>
                <w:rFonts w:hint="eastAsia" w:ascii="宋体" w:hAnsi="宋体" w:cs="宋体"/>
                <w:lang w:bidi="ar"/>
              </w:rPr>
            </w:pPr>
            <w:r>
              <w:rPr>
                <w:rFonts w:hint="eastAsia" w:ascii="宋体" w:hAnsi="宋体" w:cs="宋体"/>
                <w:lang w:bidi="ar"/>
              </w:rPr>
              <w:t xml:space="preserve">6.支持MPLS/VPLS，支持VXLAN；</w:t>
            </w:r>
            <w:r/>
          </w:p>
          <w:p>
            <w:pPr>
              <w:jc w:val="left"/>
              <w:spacing w:line="400" w:lineRule="exact"/>
              <w:rPr>
                <w:rFonts w:hint="eastAsia" w:ascii="宋体" w:hAnsi="宋体" w:cs="宋体"/>
                <w:lang w:bidi="ar"/>
              </w:rPr>
            </w:pPr>
            <w:r>
              <w:rPr>
                <w:rFonts w:hint="eastAsia" w:ascii="宋体" w:hAnsi="宋体" w:cs="宋体"/>
                <w:lang w:bidi="ar"/>
              </w:rPr>
              <w:t xml:space="preserve">7.支持 IEEE 802.3az 能效以太网标准；</w:t>
            </w:r>
            <w:r/>
          </w:p>
          <w:p>
            <w:pPr>
              <w:jc w:val="left"/>
              <w:spacing w:line="400" w:lineRule="exact"/>
              <w:rPr>
                <w:rFonts w:hint="eastAsia" w:ascii="宋体" w:hAnsi="宋体" w:cs="宋体"/>
                <w:lang w:bidi="ar"/>
              </w:rPr>
            </w:pPr>
            <w:r>
              <w:rPr>
                <w:rFonts w:hint="eastAsia" w:ascii="宋体" w:hAnsi="宋体" w:cs="宋体"/>
                <w:lang w:bidi="ar"/>
              </w:rPr>
              <w:t xml:space="preserve">8.支持热补丁功能，可在线进行补丁升级；</w:t>
            </w:r>
            <w:r/>
          </w:p>
          <w:p>
            <w:pPr>
              <w:jc w:val="left"/>
              <w:spacing w:line="400" w:lineRule="exact"/>
              <w:rPr>
                <w:rFonts w:hint="eastAsia" w:ascii="宋体" w:hAnsi="宋体" w:cs="宋体"/>
                <w:color w:val="auto"/>
                <w:sz w:val="21"/>
                <w:szCs w:val="21"/>
              </w:rPr>
            </w:pPr>
            <w:r>
              <w:rPr>
                <w:rFonts w:hint="eastAsia" w:ascii="宋体" w:hAnsi="宋体" w:cs="宋体"/>
                <w:lang w:bidi="ar"/>
              </w:rPr>
              <w:t xml:space="preserve">9.支持BFD，BFD for VRRP/BGP/BGP4/ BGP4+/IS-IS/ IS-ISv6/OSPF/ OSPFv3/RSVP/LDP/RIP/ RIPng/ IPv4、 IPv6 静态路由。</w:t>
            </w:r>
            <w:r/>
          </w:p>
        </w:tc>
        <w:tc>
          <w:tcPr>
            <w:tcW w:w="2997"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lang w:val="en-US" w:eastAsia="zh-CN"/>
              </w:rPr>
            </w:pPr>
            <w:r>
              <w:rPr>
                <w:rFonts w:hint="eastAsia" w:ascii="宋体" w:hAnsi="宋体" w:cs="宋体"/>
              </w:rPr>
              <w:t xml:space="preserve">提供原厂白皮书或者产品画册或者（产品官网链接和截图）或者第三方检测机构出具的检测报告扫描件</w:t>
            </w:r>
            <w:r/>
          </w:p>
        </w:tc>
      </w:tr>
      <w:tr>
        <w:trPr/>
        <w:tc>
          <w:tcPr>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1699" w:type="dxa"/>
            <w:vAlign w:val="center"/>
            <w:vMerge w:val="continue"/>
            <w:textDirection w:val="lrTb"/>
            <w:noWrap w:val="false"/>
          </w:tcPr>
          <w:p>
            <w:pPr>
              <w:jc w:val="left"/>
              <w:spacing w:line="400" w:lineRule="exact"/>
              <w:rPr>
                <w:rFonts w:hint="eastAsia" w:asciiTheme="minorEastAsia" w:hAnsiTheme="minorEastAsia" w:eastAsiaTheme="minorEastAsia" w:cstheme="minorEastAsia"/>
                <w:color w:val="000000"/>
                <w:lang w:bidi="ar"/>
              </w:rPr>
            </w:pPr>
            <w:r>
              <w:rPr>
                <w:rFonts w:hint="eastAsia" w:asciiTheme="minorEastAsia" w:hAnsiTheme="minorEastAsia" w:eastAsiaTheme="minorEastAsia" w:cstheme="minorEastAsia"/>
                <w:color w:val="000000"/>
                <w:lang w:bidi="ar"/>
              </w:rPr>
            </w:r>
            <w:r/>
          </w:p>
        </w:tc>
        <w:tc>
          <w:tcPr>
            <w:tcW w:w="3240" w:type="dxa"/>
            <w:vAlign w:val="center"/>
            <w:textDirection w:val="lrTb"/>
            <w:noWrap w:val="false"/>
          </w:tcPr>
          <w:p>
            <w:pPr>
              <w:jc w:val="left"/>
              <w:spacing w:line="400" w:lineRule="exact"/>
              <w:widowControl/>
              <w:rPr>
                <w:rFonts w:hint="eastAsia" w:ascii="宋体" w:hAnsi="宋体" w:cs="宋体"/>
                <w:color w:val="auto"/>
                <w:sz w:val="21"/>
                <w:szCs w:val="21"/>
              </w:rPr>
            </w:pPr>
            <w:r>
              <w:rPr>
                <w:rFonts w:hint="eastAsia" w:ascii="宋体" w:hAnsi="宋体" w:cs="宋体"/>
                <w:sz w:val="21"/>
                <w:szCs w:val="21"/>
              </w:rPr>
              <w:t xml:space="preserve">★10.所投产品具备工业和信息化部颁发的进网许可证（CTA认证），</w:t>
            </w:r>
            <w:r/>
          </w:p>
        </w:tc>
        <w:tc>
          <w:tcPr>
            <w:tcW w:w="2997"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投标</w:t>
            </w:r>
            <w:r>
              <w:rPr>
                <w:rFonts w:hint="eastAsia" w:asciiTheme="minorEastAsia" w:hAnsiTheme="minorEastAsia" w:eastAsiaTheme="minorEastAsia" w:cstheme="minorEastAsia"/>
                <w:sz w:val="21"/>
                <w:szCs w:val="21"/>
                <w:lang w:bidi="ar"/>
              </w:rPr>
              <w:t xml:space="preserve">时须提供：进网许可证清晰扫描件；工信部官网查询结果截图，显示设备型号、生产企业、许可证编号及状态为“有效”。</w:t>
            </w:r>
            <w:r/>
          </w:p>
        </w:tc>
      </w:tr>
      <w:tr>
        <w:trPr/>
        <w:tc>
          <w:tcPr>
            <w:tcW w:w="586" w:type="dxa"/>
            <w:vAlign w:val="center"/>
            <w:textDirection w:val="lrTb"/>
            <w:noWrap w:val="false"/>
          </w:tcPr>
          <w:p>
            <w:pPr>
              <w:jc w:val="center"/>
              <w:spacing w:line="320" w:lineRule="exact"/>
              <w:widowControl/>
              <w:rPr>
                <w:rFonts w:hint="eastAsia" w:asciiTheme="minorEastAsia" w:hAnsiTheme="minorEastAsia" w:eastAsiaTheme="minorEastAsia" w:cstheme="minorEastAsia"/>
                <w:lang w:bidi="ar"/>
              </w:rPr>
            </w:pPr>
            <w:r>
              <w:rPr>
                <w:rFonts w:hint="eastAsia" w:asciiTheme="minorEastAsia" w:hAnsiTheme="minorEastAsia" w:eastAsiaTheme="minorEastAsia" w:cstheme="minorEastAsia"/>
                <w:lang w:bidi="ar"/>
              </w:rPr>
            </w:r>
            <w:r/>
          </w:p>
        </w:tc>
        <w:tc>
          <w:tcPr>
            <w:tcW w:w="1699" w:type="dxa"/>
            <w:vAlign w:val="center"/>
            <w:textDirection w:val="lrTb"/>
            <w:noWrap w:val="false"/>
          </w:tcPr>
          <w:p>
            <w:pPr>
              <w:jc w:val="left"/>
              <w:spacing w:line="320" w:lineRule="exact"/>
              <w:widowControl/>
              <w:rPr>
                <w:rFonts w:hint="eastAsia" w:asciiTheme="minorEastAsia" w:hAnsiTheme="minorEastAsia" w:eastAsiaTheme="minorEastAsia" w:cstheme="minorEastAsia"/>
                <w:lang w:bidi="ar"/>
              </w:rPr>
            </w:pPr>
            <w:r>
              <w:rPr>
                <w:rFonts w:hint="eastAsia" w:asciiTheme="minorEastAsia" w:hAnsiTheme="minorEastAsia" w:eastAsiaTheme="minorEastAsia" w:cstheme="minorEastAsia"/>
                <w:lang w:bidi="ar"/>
              </w:rPr>
              <w:t xml:space="preserve">检测报告要求</w:t>
            </w:r>
            <w:r/>
          </w:p>
        </w:tc>
        <w:tc>
          <w:tcPr>
            <w:tcW w:w="3240" w:type="dxa"/>
            <w:vAlign w:val="center"/>
            <w:textDirection w:val="lrTb"/>
            <w:noWrap w:val="false"/>
          </w:tcPr>
          <w:p>
            <w:pPr>
              <w:spacing w:line="320" w:lineRule="exact"/>
              <w:rPr>
                <w:rFonts w:hint="eastAsia" w:asciiTheme="minorEastAsia" w:hAnsiTheme="minorEastAsia" w:eastAsiaTheme="minorEastAsia" w:cstheme="minorEastAsia"/>
                <w:lang w:bidi="ar"/>
              </w:rPr>
            </w:pPr>
            <w:r>
              <w:rPr>
                <w:rFonts w:hint="eastAsia" w:asciiTheme="minorEastAsia" w:hAnsiTheme="minorEastAsia" w:eastAsiaTheme="minorEastAsia" w:cstheme="minorEastAsia"/>
                <w:lang w:bidi="ar"/>
              </w:rPr>
              <w:t xml:space="preserve">投标人关于检测报告合规性的承诺函</w:t>
            </w:r>
            <w:r/>
          </w:p>
        </w:tc>
        <w:tc>
          <w:tcPr>
            <w:tcW w:w="2997" w:type="dxa"/>
            <w:vAlign w:val="center"/>
            <w:textDirection w:val="lrTb"/>
            <w:noWrap w:val="false"/>
          </w:tcPr>
          <w:p>
            <w:pPr>
              <w:spacing w:line="320" w:lineRule="exact"/>
              <w:rPr>
                <w:rFonts w:hint="eastAsia" w:asciiTheme="minorEastAsia" w:hAnsiTheme="minorEastAsia" w:eastAsiaTheme="minorEastAsia" w:cstheme="minorEastAsia"/>
                <w:lang w:bidi="ar"/>
              </w:rPr>
            </w:pPr>
            <w:r>
              <w:rPr>
                <w:rFonts w:hint="eastAsia" w:asciiTheme="minorEastAsia" w:hAnsiTheme="minorEastAsia" w:eastAsiaTheme="minorEastAsia" w:cstheme="minorEastAsia"/>
                <w:lang w:bidi="ar"/>
              </w:rPr>
              <w:t xml:space="preserve">提供投标人关于检测报告合规性的承诺函（实质性格式，格式详见附件）</w:t>
            </w:r>
            <w:r/>
          </w:p>
        </w:tc>
      </w:tr>
    </w:tbl>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5"/>
        </w:num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样品及演示要求：</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15"/>
        </w:numPr>
        <w:spacing w:line="276" w:lineRule="auto"/>
        <w:rPr>
          <w:rFonts w:hint="eastAsia" w:asciiTheme="minorEastAsia" w:hAnsiTheme="minorEastAsia" w:eastAsiaTheme="minorEastAsia" w:cstheme="minorEastAsia"/>
          <w:b/>
          <w:bCs/>
          <w:sz w:val="24"/>
        </w:rPr>
      </w:pPr>
      <w:r/>
      <w:bookmarkStart w:id="197" w:name="_Toc7880"/>
      <w:r>
        <w:rPr>
          <w:rFonts w:hint="eastAsia" w:asciiTheme="minorEastAsia" w:hAnsiTheme="minorEastAsia" w:eastAsiaTheme="minorEastAsia" w:cstheme="minorEastAsia"/>
          <w:b/>
          <w:bCs/>
          <w:sz w:val="24"/>
        </w:rPr>
        <w:t xml:space="preserve">采购标的对应的中小企业划分标准所属行业一览表</w:t>
      </w:r>
      <w:r/>
    </w:p>
    <w:tbl>
      <w:tblPr>
        <w:tblStyle w:val="735"/>
        <w:tblW w:w="8333" w:type="dxa"/>
        <w:tblInd w:w="93" w:type="dxa"/>
        <w:tblLayout w:type="fixed"/>
        <w:tblCellMar>
          <w:left w:w="108" w:type="dxa"/>
          <w:top w:w="0" w:type="dxa"/>
          <w:right w:w="108" w:type="dxa"/>
          <w:bottom w:w="0" w:type="dxa"/>
        </w:tblCellMar>
        <w:tblLook w:val="04A0" w:firstRow="1" w:lastRow="0" w:firstColumn="1" w:lastColumn="0" w:noHBand="0" w:noVBand="1"/>
      </w:tblPr>
      <w:tblGrid>
        <w:gridCol w:w="883"/>
        <w:gridCol w:w="5033"/>
        <w:gridCol w:w="2417"/>
      </w:tblGrid>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序号</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标的名称</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对应中小企业划分标准所属行业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一</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校园网</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1.1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校园网核心</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bidi="ar"/>
              </w:rPr>
              <w:t xml:space="preserve">校园网核心交换机</w:t>
            </w:r>
            <w:r>
              <w:rPr>
                <w:rFonts w:hint="eastAsia" w:asciiTheme="minorEastAsia" w:hAnsiTheme="minorEastAsia" w:eastAsiaTheme="minorEastAsia" w:cstheme="minorEastAsia"/>
                <w:b/>
                <w:bCs/>
                <w:color w:val="auto"/>
                <w:lang w:eastAsia="zh-CN" w:bidi="ar"/>
              </w:rPr>
              <w:t xml:space="preserve">（</w:t>
            </w:r>
            <w:r>
              <w:rPr>
                <w:rFonts w:hint="eastAsia" w:asciiTheme="minorEastAsia" w:hAnsiTheme="minorEastAsia" w:eastAsiaTheme="minorEastAsia" w:cstheme="minorEastAsia"/>
                <w:b/>
                <w:bCs/>
                <w:color w:val="auto"/>
                <w:lang w:val="en-US" w:eastAsia="zh-CN" w:bidi="ar"/>
              </w:rPr>
              <w:t xml:space="preserve">核心设备</w:t>
            </w:r>
            <w:r>
              <w:rPr>
                <w:rFonts w:hint="eastAsia" w:asciiTheme="minorEastAsia" w:hAnsiTheme="minorEastAsia" w:eastAsiaTheme="minorEastAsia" w:cstheme="minorEastAsia"/>
                <w:b/>
                <w:bCs/>
                <w:color w:val="auto"/>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1.2</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校园网汇聚</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以太光汇聚交换机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1.3</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无线网络</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val="false"/>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无线AP管理授权</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宋体" w:hAnsi="宋体" w:cs="宋体"/>
                <w:color w:val="auto"/>
              </w:rPr>
              <w:t xml:space="preserve">其他未列明行业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2</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面板式无线AP</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3</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放装式无线AP</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4</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放装式高密无线AP</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5</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室外无线AP</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1.4</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接入设备</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8口光接入设备</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2</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24口光接入设备</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non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3</w:t>
            </w:r>
            <w:r/>
          </w:p>
        </w:tc>
        <w:tc>
          <w:tcPr>
            <w:tcBorders>
              <w:top w:val="single" w:color="000000" w:sz="4" w:space="0"/>
              <w:left w:val="single" w:color="000000" w:sz="4" w:space="0"/>
              <w:bottom w:val="non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教室24口光接入设备</w:t>
            </w:r>
            <w:r/>
          </w:p>
        </w:tc>
        <w:tc>
          <w:tcPr>
            <w:tcBorders>
              <w:top w:val="single" w:color="000000" w:sz="4" w:space="0"/>
              <w:left w:val="single" w:color="000000" w:sz="4" w:space="0"/>
              <w:bottom w:val="non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4</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24口POE接入设备</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1.5</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光传输</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光模块</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2</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光纤跳线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二</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酒店网</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2.1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酒店网核心</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酒店网核心交换机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2.2</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酒店网汇聚</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bidi="ar"/>
              </w:rPr>
              <w:t xml:space="preserve">48光口汇聚交换机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2.3</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无线网络</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val="false"/>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无线AC控制器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2</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面板式无线AP</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3</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放装式无线AP</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4</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放装式高密无线AP</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5</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室外无线AP</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2.4</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接入设备</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8电口千兆交换机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2</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24口千兆接入交换机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3</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24电口千兆POE交换机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4</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8电口POE千兆交换机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2.5</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光传输</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万兆光模块</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lang w:bidi="ar"/>
              </w:rPr>
            </w:pPr>
            <w:r>
              <w:rPr>
                <w:rFonts w:hint="eastAsia" w:asciiTheme="minorEastAsia" w:hAnsiTheme="minorEastAsia" w:eastAsiaTheme="minorEastAsia" w:cstheme="minorEastAsia"/>
                <w:color w:val="auto"/>
                <w:lang w:bidi="ar"/>
              </w:rPr>
              <w:t xml:space="preserve">2</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lang w:bidi="ar"/>
              </w:rPr>
            </w:pPr>
            <w:r>
              <w:rPr>
                <w:rFonts w:hint="eastAsia" w:asciiTheme="minorEastAsia" w:hAnsiTheme="minorEastAsia" w:eastAsiaTheme="minorEastAsia" w:cstheme="minorEastAsia"/>
                <w:color w:val="auto"/>
                <w:lang w:bidi="ar"/>
              </w:rPr>
              <w:t xml:space="preserve">千兆光模块</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3</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光纤跳线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三</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网络运维管理</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网络管理系统</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宋体" w:hAnsi="宋体" w:cs="宋体"/>
                <w:color w:val="auto"/>
              </w:rPr>
              <w:t xml:space="preserve">软件和信息技术服务业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2</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网络设备管理服务器（框架协议采购）</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3</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链路监测服务器（框架协议采购）</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4</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哑终端管理服务器（框架协议采购）</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5</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数据库服务器（框架协议采购）</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四</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机房业务交换机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中心机房汇聚交换机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2</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千兆业务网接入交换机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五</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一期汇聚交换机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汇聚交换机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2</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bidi="ar"/>
              </w:rPr>
              <w:t xml:space="preserve">光纤跳线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bl>
    <w:p>
      <w:pPr>
        <w:pStyle w:val="927"/>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27"/>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36"/>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36"/>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36"/>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36"/>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36"/>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36"/>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27"/>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第五章  </w:t>
      </w:r>
      <w:r>
        <w:rPr>
          <w:rFonts w:hint="eastAsia" w:asciiTheme="minorEastAsia" w:hAnsiTheme="minorEastAsia" w:eastAsiaTheme="minorEastAsia" w:cstheme="minorEastAsia"/>
          <w:b/>
          <w:bCs/>
          <w:sz w:val="44"/>
        </w:rPr>
        <w:t xml:space="preserve">评标方法与评标标准</w:t>
      </w:r>
      <w:bookmarkEnd w:id="197"/>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2"/>
        <w:ind w:firstLine="43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一名中标候选人。</w:t>
      </w:r>
      <w:r/>
    </w:p>
    <w:p>
      <w:pPr>
        <w:pStyle w:val="1012"/>
        <w:ind w:firstLine="441"/>
        <w:spacing w:line="400" w:lineRule="exact"/>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政府采购政策功能落实</w:t>
      </w:r>
      <w:r/>
    </w:p>
    <w:p>
      <w:pPr>
        <w:pStyle w:val="1012"/>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1、小微型企业价格扣除</w:t>
      </w:r>
      <w:r/>
    </w:p>
    <w:p>
      <w:pPr>
        <w:pStyle w:val="1012"/>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（1）本项目对全部采用小型和微型企业产品投标的给予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的扣除价格，用扣除后的价格参与评审。如果供应商提供的货物既有小、微企业制造货物，也有大、中型企业制造货物的，不享受小微型企业价格扣除政策。</w:t>
      </w:r>
      <w:r/>
    </w:p>
    <w:p>
      <w:pPr>
        <w:pStyle w:val="1012"/>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（2）供应商需按照采购文件的要求提供相应的《小微企业声明函》。</w:t>
      </w:r>
      <w:r/>
    </w:p>
    <w:p>
      <w:pPr>
        <w:pStyle w:val="1012"/>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（3）企业标准请参照《关于印发中小企业划型标准规定的通知》（工信部联企业[2011]300号）文件规定自行填写。</w:t>
      </w:r>
      <w:r/>
    </w:p>
    <w:p>
      <w:pPr>
        <w:pStyle w:val="1012"/>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2、残疾人福利单位价格扣除</w:t>
      </w:r>
      <w:r/>
    </w:p>
    <w:p>
      <w:pPr>
        <w:pStyle w:val="1012"/>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（1）本项目对残疾人福利性单位视同小型、微型企业，给予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的价格扣除，用扣除后的价格参与评审。</w:t>
      </w:r>
      <w:r/>
    </w:p>
    <w:p>
      <w:pPr>
        <w:pStyle w:val="1012"/>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（2）残疾人福利单位需按照采购文件的要求提供《残疾人福利性单位声明函》。</w:t>
      </w:r>
      <w:r/>
    </w:p>
    <w:p>
      <w:pPr>
        <w:pStyle w:val="1012"/>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（3）残疾人福利单位标准请参照《关于促进残疾人就业政府采购政策的通知》（财库〔2017〕141号）。</w:t>
      </w:r>
      <w:r/>
    </w:p>
    <w:p>
      <w:pPr>
        <w:pStyle w:val="1012"/>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3、监狱和戒毒企业价格扣除</w:t>
      </w:r>
      <w:r/>
    </w:p>
    <w:p>
      <w:pPr>
        <w:pStyle w:val="1012"/>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（1）本项目对监狱和戒毒企业（简称监狱企业）视同小型、微型企业，给予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的价格扣除，用扣除后的价格参与评审。</w:t>
      </w:r>
      <w:r/>
    </w:p>
    <w:p>
      <w:pPr>
        <w:pStyle w:val="1012"/>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2"/>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（3）监狱企业标准请参照《关于政府采购支持监狱企业发展有关问题的通知》（财库[2014]68号）。</w:t>
      </w:r>
      <w:r/>
    </w:p>
    <w:p>
      <w:pPr>
        <w:pStyle w:val="1012"/>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4、残疾人福利单位、监狱企业属于小型、微型企业的，不重复享受政策。</w:t>
      </w:r>
      <w:r/>
    </w:p>
    <w:p>
      <w:pPr>
        <w:pStyle w:val="1012"/>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5、采购本国产品的支持政策</w:t>
      </w:r>
      <w:r/>
    </w:p>
    <w:p>
      <w:pPr>
        <w:pStyle w:val="1012"/>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5.1 本项目政府采购活动中既有本国产品又有非本国产品参与竞争的，依法对本国产品给予价格评审优惠，对本国产品的报价给予 20%的价格扣除，用扣除后的价格参与评审。</w:t>
      </w:r>
      <w:r/>
    </w:p>
    <w:p>
      <w:pPr>
        <w:pStyle w:val="1012"/>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2"/>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5.3 供应商需按照招标文件的要求提供《关于符合本国产品标准的声明函》（以下简称《声明函》），如不提供将不享受本国产品价格评审优惠。</w:t>
      </w:r>
      <w:r/>
    </w:p>
    <w:p>
      <w:pPr>
        <w:pStyle w:val="1012"/>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2"/>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98" w:name="OLE_LINK2"/>
      <w:r/>
      <w:bookmarkStart w:id="199" w:name="OLE_LINK1"/>
      <w:r/>
      <w:bookmarkEnd w:id="198"/>
      <w:bookmarkEnd w:id="199"/>
      <w:r/>
    </w:p>
    <w:p>
      <w:pPr>
        <w:pStyle w:val="1012"/>
        <w:spacing w:line="0" w:lineRule="atLeas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评标方法与评标标准</w:t>
      </w:r>
      <w:bookmarkStart w:id="200" w:name="_Toc3874"/>
      <w:r/>
      <w:r/>
    </w:p>
    <w:tbl>
      <w:tblPr>
        <w:tblStyle w:val="735"/>
        <w:tblW w:w="4994" w:type="pct"/>
        <w:tblInd w:w="6" w:type="dxa"/>
        <w:tblLayout w:type="fixed"/>
        <w:tblCellMar>
          <w:left w:w="108" w:type="dxa"/>
          <w:top w:w="0" w:type="dxa"/>
          <w:right w:w="108" w:type="dxa"/>
          <w:bottom w:w="0" w:type="dxa"/>
        </w:tblCellMar>
        <w:tblLook w:val="04A0" w:firstRow="1" w:lastRow="0" w:firstColumn="1" w:lastColumn="0" w:noHBand="0" w:noVBand="1"/>
      </w:tblPr>
      <w:tblGrid>
        <w:gridCol w:w="691"/>
        <w:gridCol w:w="1300"/>
        <w:gridCol w:w="3708"/>
        <w:gridCol w:w="753"/>
        <w:gridCol w:w="666"/>
        <w:gridCol w:w="704"/>
        <w:gridCol w:w="690"/>
      </w:tblGrid>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keepLines w:val="0"/>
              <w:keepNext w:val="0"/>
              <w:pageBreakBefore w:val="0"/>
              <w:spacing w:line="340" w:lineRule="exact"/>
              <w:widowControl/>
              <w:rPr>
                <w:rFonts w:hint="eastAsia" w:ascii="宋体" w:hAnsi="宋体" w:cs="宋体"/>
              </w:rPr>
            </w:pPr>
            <w:r>
              <w:rPr>
                <w:rFonts w:hint="eastAsia" w:ascii="宋体" w:hAnsi="宋体" w:cs="宋体"/>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5" w:type="dxa"/>
            <w:vAlign w:val="center"/>
            <w:textDirection w:val="lrTb"/>
            <w:noWrap w:val="false"/>
          </w:tcPr>
          <w:p>
            <w:pPr>
              <w:jc w:val="center"/>
              <w:keepLines w:val="0"/>
              <w:keepNext w:val="0"/>
              <w:pageBreakBefore w:val="0"/>
              <w:spacing w:line="340" w:lineRule="exact"/>
              <w:widowControl/>
              <w:rPr>
                <w:rFonts w:hint="eastAsia" w:ascii="宋体" w:hAnsi="宋体" w:cs="宋体"/>
              </w:rPr>
            </w:pPr>
            <w:r>
              <w:rPr>
                <w:rFonts w:hint="eastAsia" w:ascii="宋体" w:hAnsi="宋体" w:cs="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rPr>
                <w:rFonts w:hint="eastAsia" w:ascii="宋体" w:hAnsi="宋体" w:cs="宋体"/>
                <w:b/>
              </w:rPr>
            </w:pPr>
            <w:r>
              <w:rPr>
                <w:rFonts w:hint="eastAsia" w:ascii="宋体" w:hAnsi="宋体" w:cs="宋体"/>
                <w:b/>
              </w:rPr>
              <w:t xml:space="preserve">最低分值</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jc w:val="center"/>
              <w:keepLines w:val="0"/>
              <w:keepNext w:val="0"/>
              <w:pageBreakBefore w:val="0"/>
              <w:spacing w:line="340" w:lineRule="exact"/>
              <w:rPr>
                <w:rFonts w:hint="eastAsia" w:ascii="宋体" w:hAnsi="宋体" w:cs="宋体"/>
                <w:b/>
              </w:rPr>
            </w:pPr>
            <w:r>
              <w:rPr>
                <w:rFonts w:hint="eastAsia" w:ascii="宋体" w:hAnsi="宋体" w:cs="宋体"/>
                <w:b/>
              </w:rPr>
              <w:t xml:space="preserve">最高分值</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rPr>
                <w:rFonts w:hint="eastAsia" w:ascii="宋体" w:hAnsi="宋体" w:cs="宋体"/>
                <w:b/>
              </w:rPr>
            </w:pP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rPr>
                <w:rFonts w:hint="eastAsia" w:ascii="宋体" w:hAnsi="宋体" w:cs="宋体"/>
                <w:b/>
              </w:rPr>
            </w:pP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5"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lang w:bidi="ar"/>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jc w:val="center"/>
              <w:keepLines w:val="0"/>
              <w:keepNext w:val="0"/>
              <w:pageBreakBefore w:val="0"/>
              <w:spacing w:line="340" w:lineRule="exact"/>
              <w:widowControl/>
              <w:rPr>
                <w:rFonts w:hint="default" w:ascii="宋体" w:hAnsi="宋体" w:eastAsia="宋体" w:cs="宋体"/>
                <w:b/>
                <w:bCs/>
                <w:lang w:val="en-US" w:eastAsia="zh-CN"/>
              </w:rPr>
            </w:pPr>
            <w:r>
              <w:rPr>
                <w:rFonts w:hint="eastAsia" w:ascii="宋体" w:hAnsi="宋体" w:cs="宋体"/>
                <w:b/>
                <w:bCs/>
                <w:lang w:val="en-US" w:eastAsia="zh-CN"/>
              </w:rPr>
              <w:t xml:space="preserve">35</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keepLines w:val="0"/>
              <w:keepNext w:val="0"/>
              <w:pageBreakBefore w:val="0"/>
              <w:spacing w:line="340" w:lineRule="exact"/>
              <w:widowControl/>
              <w:rPr>
                <w:rFonts w:hint="eastAsia" w:ascii="宋体" w:hAnsi="宋体" w:cs="宋体"/>
              </w:rPr>
            </w:pPr>
            <w:r>
              <w:rPr>
                <w:rFonts w:hint="eastAsia" w:ascii="宋体" w:hAnsi="宋体" w:cs="宋体"/>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5" w:type="dxa"/>
            <w:vAlign w:val="center"/>
            <w:textDirection w:val="lrTb"/>
            <w:noWrap w:val="false"/>
          </w:tcPr>
          <w:p>
            <w:pPr>
              <w:jc w:val="center"/>
              <w:keepLines w:val="0"/>
              <w:keepNext w:val="0"/>
              <w:pageBreakBefore w:val="0"/>
              <w:spacing w:line="340" w:lineRule="exact"/>
              <w:widowControl/>
              <w:rPr>
                <w:rFonts w:hint="eastAsia" w:ascii="宋体" w:hAnsi="宋体" w:cs="宋体"/>
              </w:rPr>
            </w:pPr>
            <w:r>
              <w:rPr>
                <w:rFonts w:hint="eastAsia" w:ascii="宋体" w:hAnsi="宋体" w:cs="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rPr>
                <w:rFonts w:hint="eastAsia" w:ascii="宋体" w:hAnsi="宋体" w:cs="宋体"/>
                <w:b/>
              </w:rPr>
            </w:pPr>
            <w:r>
              <w:rPr>
                <w:rFonts w:hint="eastAsia" w:ascii="宋体" w:hAnsi="宋体" w:cs="宋体"/>
                <w:b/>
              </w:rPr>
              <w:t xml:space="preserve">最低分值</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jc w:val="center"/>
              <w:keepLines w:val="0"/>
              <w:keepNext w:val="0"/>
              <w:pageBreakBefore w:val="0"/>
              <w:spacing w:line="340" w:lineRule="exact"/>
              <w:rPr>
                <w:rFonts w:hint="eastAsia" w:ascii="宋体" w:hAnsi="宋体" w:cs="宋体"/>
                <w:b/>
              </w:rPr>
            </w:pPr>
            <w:r>
              <w:rPr>
                <w:rFonts w:hint="eastAsia" w:ascii="宋体" w:hAnsi="宋体" w:cs="宋体"/>
                <w:b/>
              </w:rPr>
              <w:t xml:space="preserve">最高分值</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rPr>
                <w:rFonts w:hint="eastAsia" w:ascii="宋体" w:hAnsi="宋体" w:cs="宋体"/>
                <w:b/>
              </w:rPr>
            </w:pPr>
            <w:r>
              <w:rPr>
                <w:rFonts w:hint="eastAsia" w:ascii="宋体" w:hAnsi="宋体" w:cs="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rPr>
                <w:rFonts w:hint="eastAsia" w:ascii="宋体" w:hAnsi="宋体" w:cs="宋体"/>
                <w:b/>
              </w:rPr>
            </w:pPr>
            <w:r>
              <w:rPr>
                <w:rFonts w:hint="eastAsia" w:ascii="宋体" w:hAnsi="宋体" w:cs="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技术分</w:t>
            </w:r>
            <w:r/>
          </w:p>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5"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下列（2.1，2.2，2.3</w:t>
            </w:r>
            <w:r>
              <w:rPr>
                <w:rFonts w:hint="eastAsia" w:ascii="宋体" w:hAnsi="宋体" w:cs="宋体"/>
                <w:b/>
                <w:bCs/>
                <w:lang w:eastAsia="zh-CN"/>
              </w:rPr>
              <w:t xml:space="preserve">，</w:t>
            </w:r>
            <w:r>
              <w:rPr>
                <w:rFonts w:hint="eastAsia" w:ascii="宋体" w:hAnsi="宋体" w:cs="宋体"/>
                <w:b/>
                <w:bCs/>
                <w:lang w:val="en-US" w:eastAsia="zh-CN"/>
              </w:rPr>
              <w:t xml:space="preserve">2.4</w:t>
            </w:r>
            <w:r>
              <w:rPr>
                <w:rFonts w:hint="eastAsia" w:ascii="宋体" w:hAnsi="宋体" w:cs="宋体"/>
                <w:b/>
                <w:bCs/>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736"/>
              <w:jc w:val="center"/>
              <w:keepLines w:val="0"/>
              <w:keepNext w:val="0"/>
              <w:pageBreakBefore w:val="0"/>
              <w:spacing w:line="340" w:lineRule="exact"/>
              <w:rPr>
                <w:rFonts w:hint="eastAsia" w:eastAsia="宋体"/>
                <w:lang w:val="en-US" w:eastAsia="zh-CN"/>
              </w:rPr>
            </w:pPr>
            <w:r>
              <w:rPr>
                <w:rFonts w:hint="eastAsia" w:ascii="宋体" w:hAnsi="宋体" w:cs="宋体"/>
                <w:b/>
                <w:bCs/>
                <w:strike/>
                <w:lang w:val="en-US" w:eastAsia="zh-CN"/>
              </w:rPr>
              <w:t xml:space="preserve">1</w:t>
            </w: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en-US" w:eastAsia="zh-CN"/>
              </w:rPr>
              <w:t xml:space="preserve">2</w:t>
            </w:r>
            <w:r/>
          </w:p>
          <w:p>
            <w:pPr>
              <w:pStyle w:val="736"/>
              <w:keepLines w:val="0"/>
              <w:keepNext w:val="0"/>
              <w:pageBreakBefore w:val="0"/>
              <w:spacing w:line="340" w:lineRule="exact"/>
              <w:rPr>
                <w:rFonts w:hint="eastAsia"/>
              </w:rPr>
            </w:pPr>
            <w:r>
              <w:rPr>
                <w:rFonts w:hint="eastAsia"/>
              </w:rPr>
              <w:t xml:space="preserve">1</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是</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keepLines w:val="0"/>
              <w:keepNext w:val="0"/>
              <w:pageBreakBefore w:val="0"/>
              <w:spacing w:line="340" w:lineRule="exact"/>
              <w:widowControl/>
              <w:rPr>
                <w:rFonts w:hint="eastAsia" w:ascii="宋体" w:hAnsi="宋体" w:cs="宋体"/>
                <w:b/>
                <w:bCs/>
                <w:color w:val="auto"/>
              </w:rPr>
            </w:pPr>
            <w:r>
              <w:rPr>
                <w:rFonts w:hint="eastAsia" w:asciiTheme="minorEastAsia" w:hAnsiTheme="minorEastAsia" w:eastAsiaTheme="minorEastAsia" w:cstheme="minorEastAsia"/>
                <w:color w:val="auto"/>
                <w:lang w:bidi="ar"/>
              </w:rPr>
              <w:t xml:space="preserve">技术方案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5" w:type="dxa"/>
            <w:vAlign w:val="center"/>
            <w:textDirection w:val="lrTb"/>
            <w:noWrap w:val="false"/>
          </w:tcPr>
          <w:p>
            <w:pPr>
              <w:jc w:val="left"/>
              <w:keepLines w:val="0"/>
              <w:keepNext w:val="0"/>
              <w:pageBreakBefore w:val="0"/>
              <w:spacing w:line="34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根据本项目的特点，提供详细方案，包含：①现场勘察报告；②网络技术方案；③网络改造拓扑图；④现有核心交换机、华为</w:t>
            </w:r>
            <w:r>
              <w:rPr>
                <w:rFonts w:asciiTheme="minorEastAsia" w:hAnsiTheme="minorEastAsia" w:eastAsiaTheme="minorEastAsia" w:cstheme="minorEastAsia"/>
                <w:color w:val="auto"/>
              </w:rPr>
              <w:t xml:space="preserve">ME60</w:t>
            </w:r>
            <w:r>
              <w:rPr>
                <w:rFonts w:hint="eastAsia" w:asciiTheme="minorEastAsia" w:hAnsiTheme="minorEastAsia" w:eastAsiaTheme="minorEastAsia" w:cstheme="minorEastAsia"/>
                <w:color w:val="auto"/>
              </w:rPr>
              <w:t xml:space="preserve">等设备利旧方案及调试策略配置；⑤整体网络割接五个方面，</w:t>
            </w:r>
            <w:r>
              <w:rPr>
                <w:rFonts w:hAnsi="宋体" w:cs="宋体"/>
                <w:color w:val="auto"/>
              </w:rPr>
              <w:t xml:space="preserve">结合以上要求，分为以下</w:t>
            </w:r>
            <w:r>
              <w:rPr>
                <w:rFonts w:hint="eastAsia" w:hAnsi="宋体" w:cs="宋体"/>
                <w:color w:val="auto"/>
              </w:rPr>
              <w:t xml:space="preserve">三</w:t>
            </w:r>
            <w:r>
              <w:rPr>
                <w:rFonts w:hAnsi="宋体" w:cs="宋体"/>
                <w:color w:val="auto"/>
              </w:rPr>
              <w:t xml:space="preserve">个等级：</w:t>
            </w:r>
            <w:r/>
          </w:p>
          <w:p>
            <w:pPr>
              <w:jc w:val="left"/>
              <w:keepLines w:val="0"/>
              <w:keepNext w:val="0"/>
              <w:pageBreakBefore w:val="0"/>
              <w:spacing w:line="34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1.技术方案完整，现场勘察报告详细掌握学校真实环境，</w:t>
            </w:r>
            <w:r>
              <w:rPr>
                <w:rFonts w:hint="eastAsia" w:ascii="宋体" w:hAnsi="宋体" w:cs="宋体"/>
                <w:color w:val="auto"/>
              </w:rPr>
              <w:t xml:space="preserve">对项目中的特点、重点和难点有详细阐述，</w:t>
            </w:r>
            <w:r>
              <w:rPr>
                <w:rFonts w:hint="eastAsia" w:asciiTheme="minorEastAsia" w:hAnsiTheme="minorEastAsia" w:eastAsiaTheme="minorEastAsia" w:cstheme="minorEastAsia"/>
                <w:color w:val="auto"/>
              </w:rPr>
              <w:t xml:space="preserve">针对性强，细节完善，得</w:t>
            </w:r>
            <w:r>
              <w:rPr>
                <w:rFonts w:asciiTheme="minorEastAsia" w:hAnsiTheme="minorEastAsia" w:eastAsiaTheme="minorEastAsia" w:cstheme="minorEastAsia"/>
                <w:color w:val="auto"/>
              </w:rPr>
              <w:t xml:space="preserve">5</w:t>
            </w:r>
            <w:r>
              <w:rPr>
                <w:rFonts w:hint="eastAsia" w:asciiTheme="minorEastAsia" w:hAnsiTheme="minorEastAsia" w:eastAsiaTheme="minorEastAsia" w:cstheme="minorEastAsia"/>
                <w:color w:val="auto"/>
              </w:rPr>
              <w:t xml:space="preserve">-</w:t>
            </w:r>
            <w:r>
              <w:rPr>
                <w:rFonts w:asciiTheme="minorEastAsia" w:hAnsiTheme="minorEastAsia" w:eastAsiaTheme="minorEastAsia" w:cstheme="minorEastAsia"/>
                <w:color w:val="auto"/>
              </w:rPr>
              <w:t xml:space="preserve">6</w:t>
            </w:r>
            <w:r>
              <w:rPr>
                <w:rFonts w:hint="eastAsia" w:asciiTheme="minorEastAsia" w:hAnsiTheme="minorEastAsia" w:eastAsiaTheme="minorEastAsia" w:cstheme="minorEastAsia"/>
                <w:color w:val="auto"/>
              </w:rPr>
              <w:t xml:space="preserve">分；</w:t>
            </w:r>
            <w:r/>
          </w:p>
          <w:p>
            <w:pPr>
              <w:jc w:val="left"/>
              <w:keepLines w:val="0"/>
              <w:keepNext w:val="0"/>
              <w:pageBreakBefore w:val="0"/>
              <w:spacing w:line="34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2.技术方案完整，细节简单，基本符合项目需求，得</w:t>
            </w:r>
            <w:r>
              <w:rPr>
                <w:rFonts w:asciiTheme="minorEastAsia" w:hAnsiTheme="minorEastAsia" w:eastAsiaTheme="minorEastAsia" w:cstheme="minorEastAsia"/>
                <w:color w:val="auto"/>
              </w:rPr>
              <w:t xml:space="preserve">3</w:t>
            </w:r>
            <w:r>
              <w:rPr>
                <w:rFonts w:hint="eastAsia" w:asciiTheme="minorEastAsia" w:hAnsiTheme="minorEastAsia" w:eastAsiaTheme="minorEastAsia" w:cstheme="minorEastAsia"/>
                <w:color w:val="auto"/>
              </w:rPr>
              <w:t xml:space="preserve">-</w:t>
            </w:r>
            <w:r>
              <w:rPr>
                <w:rFonts w:asciiTheme="minorEastAsia" w:hAnsiTheme="minorEastAsia" w:eastAsiaTheme="minorEastAsia" w:cstheme="minorEastAsia"/>
                <w:color w:val="auto"/>
              </w:rPr>
              <w:t xml:space="preserve">4</w:t>
            </w:r>
            <w:r>
              <w:rPr>
                <w:rFonts w:hint="eastAsia" w:asciiTheme="minorEastAsia" w:hAnsiTheme="minorEastAsia" w:eastAsiaTheme="minorEastAsia" w:cstheme="minorEastAsia"/>
                <w:color w:val="auto"/>
              </w:rPr>
              <w:t xml:space="preserve">分；</w:t>
            </w:r>
            <w:r/>
          </w:p>
          <w:p>
            <w:pPr>
              <w:jc w:val="left"/>
              <w:keepLines w:val="0"/>
              <w:keepNext w:val="0"/>
              <w:pageBreakBefore w:val="0"/>
              <w:spacing w:line="34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 技术方案不完整，针对性一般，得1-2分；</w:t>
            </w:r>
            <w:r/>
          </w:p>
          <w:p>
            <w:pPr>
              <w:keepLines w:val="0"/>
              <w:keepNext w:val="0"/>
              <w:pageBreakBefore w:val="0"/>
              <w:spacing w:line="340" w:lineRule="exact"/>
              <w:widowControl/>
              <w:rPr>
                <w:rFonts w:hint="eastAsia" w:ascii="宋体" w:hAnsi="宋体" w:cs="宋体"/>
                <w:b/>
                <w:bCs/>
                <w:color w:val="auto"/>
              </w:rPr>
            </w:pPr>
            <w:r>
              <w:rPr>
                <w:rFonts w:hint="eastAsia" w:asciiTheme="minorEastAsia" w:hAnsiTheme="minorEastAsia" w:eastAsiaTheme="minorEastAsia" w:cstheme="minorEastAsia"/>
                <w:color w:val="auto"/>
              </w:rPr>
              <w:t xml:space="preserve">未提供不得分。</w:t>
            </w:r>
            <w:r>
              <w:rPr>
                <w:rFonts w:asciiTheme="minorEastAsia" w:hAnsiTheme="minorEastAsia" w:eastAsiaTheme="minorEastAsia" w:cstheme="minorEastAsia"/>
                <w:color w:val="auto"/>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b/>
                <w:bCs/>
                <w:lang w:eastAsia="zh-CN"/>
              </w:rPr>
            </w:pPr>
            <w:r>
              <w:rPr>
                <w:rFonts w:hint="eastAsia" w:asciiTheme="minorEastAsia" w:hAnsiTheme="minorEastAsia" w:eastAsiaTheme="minorEastAsia" w:cstheme="minorEastAsia"/>
                <w:b/>
                <w:bCs/>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Theme="minorEastAsia" w:hAnsiTheme="minorEastAsia" w:eastAsiaTheme="minorEastAsia" w:cstheme="minorEastAsia"/>
                <w:b/>
                <w:bCs/>
              </w:rPr>
              <w:t xml:space="preserve">是</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Theme="minorEastAsia" w:hAnsiTheme="minorEastAsia" w:eastAsiaTheme="minorEastAsia" w:cstheme="minorEastAsia"/>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lang w:bidi="ar"/>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5" w:type="dxa"/>
            <w:vAlign w:val="center"/>
            <w:textDirection w:val="lrTb"/>
            <w:noWrap w:val="false"/>
          </w:tcPr>
          <w:p>
            <w:pPr>
              <w:pStyle w:val="742"/>
              <w:jc w:val="left"/>
              <w:keepLines w:val="0"/>
              <w:keepNext w:val="0"/>
              <w:pageBreakBefore w:val="0"/>
              <w:spacing w:line="340" w:lineRule="exact"/>
              <w:rPr>
                <w:rFonts w:hAnsi="宋体" w:cs="宋体"/>
                <w:szCs w:val="21"/>
              </w:rPr>
            </w:pPr>
            <w:r>
              <w:rPr>
                <w:rFonts w:hAnsi="宋体" w:cs="宋体"/>
                <w:szCs w:val="21"/>
              </w:rPr>
              <w:t xml:space="preserve">根据招标文件的要求和采购单位提供的CAD图，提供完善的图纸和施工方案，根据本项目的特点，详细说明在每一个环节中具体做法（包含但不限于项目的难点和重点、人员的合理配备、质量的前后监控、与其它施工项目的衔接、施工过程中规范化操作、对不可预见因素的预测及解决方案、施工结束后对各种设备及系统的调试、中标供应商提供到施工现场的产品进行抽检的方式方法、提供基础网络安全策略和安全设备调试方案等等），确保项目保质、保量、保时完成。</w:t>
            </w:r>
            <w:r/>
          </w:p>
          <w:p>
            <w:pPr>
              <w:pStyle w:val="742"/>
              <w:jc w:val="left"/>
              <w:keepLines w:val="0"/>
              <w:keepNext w:val="0"/>
              <w:pageBreakBefore w:val="0"/>
              <w:spacing w:line="340" w:lineRule="exact"/>
              <w:rPr>
                <w:rFonts w:hAnsi="宋体" w:cs="宋体"/>
                <w:color w:val="auto"/>
                <w:sz w:val="21"/>
                <w:szCs w:val="21"/>
              </w:rPr>
            </w:pPr>
            <w:r>
              <w:rPr>
                <w:rFonts w:hAnsi="宋体" w:cs="宋体"/>
                <w:color w:val="auto"/>
                <w:sz w:val="21"/>
                <w:szCs w:val="21"/>
              </w:rPr>
              <w:t xml:space="preserve">结合以上要求，分为以下等级：</w:t>
            </w:r>
            <w:r/>
          </w:p>
          <w:p>
            <w:pPr>
              <w:keepLines w:val="0"/>
              <w:keepNext w:val="0"/>
              <w:pageBreakBefore w:val="0"/>
              <w:spacing w:line="340" w:lineRule="exact"/>
              <w:rPr>
                <w:rFonts w:hint="eastAsia" w:ascii="宋体" w:hAnsi="宋体" w:cs="宋体"/>
                <w:color w:val="auto"/>
                <w:sz w:val="21"/>
                <w:szCs w:val="21"/>
              </w:rPr>
            </w:pPr>
            <w:r>
              <w:rPr>
                <w:rFonts w:hint="eastAsia" w:ascii="宋体" w:hAnsi="宋体" w:cs="宋体"/>
                <w:color w:val="auto"/>
                <w:sz w:val="21"/>
                <w:szCs w:val="21"/>
              </w:rPr>
              <w:t xml:space="preserve">1.方案详细完善可行，提供完善的图纸，包括设备布局图，布线图，系统图，图纸齐全、专业、清晰的，对项目中的特点、重点和难点有详细阐述，施工过程规范，人员配备合理，有严格完备的质量监控程序，提供完备的基础网络安全策略和安全设备调试方案，得3分；</w:t>
            </w:r>
            <w:r/>
          </w:p>
          <w:p>
            <w:pPr>
              <w:pStyle w:val="736"/>
              <w:ind w:firstLine="0"/>
              <w:keepLines w:val="0"/>
              <w:keepNext w:val="0"/>
              <w:pageBreakBefore w:val="0"/>
              <w:spacing w:line="340" w:lineRule="exact"/>
              <w:rPr>
                <w:rFonts w:ascii="宋体" w:hAnsi="宋体" w:cs="宋体"/>
                <w:color w:val="auto"/>
                <w:sz w:val="21"/>
                <w:szCs w:val="21"/>
              </w:rPr>
            </w:pPr>
            <w:r>
              <w:rPr>
                <w:rFonts w:hint="eastAsia" w:ascii="宋体" w:hAnsi="宋体" w:cs="宋体"/>
                <w:color w:val="auto"/>
                <w:sz w:val="21"/>
                <w:szCs w:val="21"/>
              </w:rPr>
              <w:t xml:space="preserve">2.方案简单，各子系统图纸不齐全的，对项目中的特点、重点和难点没有阐述，施工过程规范性一般，人员配备不合理，没有质量监控程序，未提供</w:t>
            </w:r>
            <w:r>
              <w:rPr>
                <w:rFonts w:hint="eastAsia" w:ascii="宋体" w:hAnsi="宋体" w:cs="宋体"/>
                <w:color w:val="auto"/>
                <w:sz w:val="21"/>
                <w:szCs w:val="21"/>
              </w:rPr>
              <w:t xml:space="preserve">基础网络安全策略和安全设备调试方案的或方案不合理的</w:t>
            </w:r>
            <w:r>
              <w:rPr>
                <w:rFonts w:hint="eastAsia" w:ascii="宋体" w:hAnsi="宋体" w:cs="宋体"/>
                <w:color w:val="auto"/>
                <w:sz w:val="21"/>
                <w:szCs w:val="21"/>
              </w:rPr>
              <w:t xml:space="preserve">得1分。</w:t>
            </w:r>
            <w:r/>
          </w:p>
          <w:p>
            <w:pPr>
              <w:pStyle w:val="736"/>
              <w:ind w:firstLine="0"/>
              <w:keepLines w:val="0"/>
              <w:keepNext w:val="0"/>
              <w:pageBreakBefore w:val="0"/>
              <w:spacing w:line="340" w:lineRule="exact"/>
              <w:rPr>
                <w:rFonts w:hint="eastAsia"/>
              </w:rPr>
            </w:pPr>
            <w:r>
              <w:rPr>
                <w:rFonts w:hint="eastAsia" w:asciiTheme="minorEastAsia" w:hAnsiTheme="minorEastAsia" w:eastAsiaTheme="minorEastAsia" w:cstheme="minorEastAsia"/>
                <w:color w:val="auto"/>
                <w:sz w:val="21"/>
                <w:szCs w:val="21"/>
              </w:rPr>
              <w:t xml:space="preserve">3.未提供不得分。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color w:val="auto"/>
              </w:rPr>
              <w:t xml:space="preserve">3</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是</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highlight w:val="none"/>
              </w:rPr>
            </w:pPr>
            <w:r>
              <w:rPr>
                <w:rFonts w:hint="eastAsia" w:ascii="宋体" w:hAnsi="宋体" w:cs="宋体"/>
                <w:b/>
                <w:bCs/>
                <w:highlight w:val="none"/>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keepLines w:val="0"/>
              <w:keepNext w:val="0"/>
              <w:pageBreakBefore w:val="0"/>
              <w:spacing w:line="340" w:lineRule="exact"/>
              <w:widowControl/>
              <w:rPr>
                <w:rFonts w:hint="eastAsia" w:ascii="宋体" w:hAnsi="宋体" w:cs="宋体"/>
                <w:b/>
                <w:bCs/>
                <w:highlight w:val="none"/>
              </w:rPr>
            </w:pPr>
            <w:r>
              <w:rPr>
                <w:rFonts w:hint="eastAsia" w:ascii="宋体" w:hAnsi="宋体" w:cs="宋体"/>
                <w:b/>
                <w:bCs/>
                <w:highlight w:val="none"/>
              </w:rPr>
              <w:t xml:space="preserve">培训方案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5" w:type="dxa"/>
            <w:vAlign w:val="center"/>
            <w:textDirection w:val="lrTb"/>
            <w:noWrap w:val="false"/>
          </w:tcPr>
          <w:p>
            <w:pPr>
              <w:jc w:val="left"/>
              <w:keepLines w:val="0"/>
              <w:keepNext w:val="0"/>
              <w:pageBreakBefore w:val="0"/>
              <w:spacing w:line="340" w:lineRule="exact"/>
              <w:rPr>
                <w:rFonts w:hint="eastAsia" w:ascii="宋体" w:hAnsi="宋体" w:cs="宋体"/>
                <w:highlight w:val="none"/>
              </w:rPr>
            </w:pPr>
            <w:r>
              <w:rPr>
                <w:rFonts w:hint="eastAsia" w:ascii="宋体" w:hAnsi="宋体" w:cs="宋体"/>
                <w:highlight w:val="none"/>
              </w:rPr>
              <w:t xml:space="preserve">提供完善的产品培训方案，从师资情况、时间安排、培训内容及教材等方面:</w:t>
            </w:r>
            <w:r/>
          </w:p>
          <w:p>
            <w:pPr>
              <w:jc w:val="left"/>
              <w:keepLines w:val="0"/>
              <w:keepNext w:val="0"/>
              <w:pageBreakBefore w:val="0"/>
              <w:spacing w:line="340" w:lineRule="exact"/>
              <w:widowControl/>
              <w:rPr>
                <w:rFonts w:ascii="宋体" w:hAnsi="宋体" w:cs="宋体"/>
                <w:highlight w:val="none"/>
              </w:rPr>
            </w:pPr>
            <w:r>
              <w:rPr>
                <w:rFonts w:hint="eastAsia" w:ascii="宋体" w:hAnsi="宋体" w:cs="宋体"/>
                <w:highlight w:val="none"/>
              </w:rPr>
              <w:t xml:space="preserve">1.方案科学详细，完善可行，得1分。</w:t>
            </w:r>
            <w:r/>
          </w:p>
          <w:p>
            <w:pPr>
              <w:jc w:val="left"/>
              <w:keepLines w:val="0"/>
              <w:keepNext w:val="0"/>
              <w:pageBreakBefore w:val="0"/>
              <w:spacing w:line="340" w:lineRule="exact"/>
              <w:widowControl/>
              <w:rPr>
                <w:rFonts w:hint="eastAsia" w:ascii="宋体" w:hAnsi="宋体" w:cs="宋体"/>
                <w:highlight w:val="none"/>
                <w:lang w:bidi="ar"/>
              </w:rPr>
            </w:pPr>
            <w:r>
              <w:rPr>
                <w:rFonts w:hint="eastAsia" w:ascii="宋体" w:hAnsi="宋体" w:cs="宋体"/>
                <w:highlight w:val="none"/>
              </w:rPr>
              <w:t xml:space="preserve">2.方案过于简单或者不提供方案不得分。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widowControl/>
              <w:rPr>
                <w:rFonts w:hint="eastAsia" w:ascii="宋体" w:hAnsi="宋体" w:cs="宋体"/>
                <w:b/>
                <w:bCs/>
                <w:highlight w:val="none"/>
              </w:rPr>
            </w:pPr>
            <w:r>
              <w:rPr>
                <w:rFonts w:hint="eastAsia" w:ascii="宋体" w:hAnsi="宋体" w:cs="宋体"/>
                <w:b/>
                <w:bCs/>
                <w:highlight w:val="none"/>
              </w:rPr>
              <w:t xml:space="preserve">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jc w:val="center"/>
              <w:keepLines w:val="0"/>
              <w:keepNext w:val="0"/>
              <w:pageBreakBefore w:val="0"/>
              <w:spacing w:line="340" w:lineRule="exact"/>
              <w:widowControl/>
              <w:rPr>
                <w:rFonts w:hint="eastAsia" w:ascii="宋体" w:hAnsi="宋体" w:cs="宋体"/>
                <w:b/>
                <w:bCs/>
                <w:highlight w:val="none"/>
              </w:rPr>
            </w:pPr>
            <w:r>
              <w:rPr>
                <w:rFonts w:hint="eastAsia" w:ascii="宋体" w:hAnsi="宋体" w:cs="宋体"/>
                <w:b/>
                <w:bCs/>
                <w:highlight w:val="none"/>
              </w:rPr>
              <w:t xml:space="preserve">1</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widowControl/>
              <w:rPr>
                <w:rFonts w:hint="eastAsia" w:ascii="宋体" w:hAnsi="宋体" w:cs="宋体"/>
                <w:b/>
                <w:bCs/>
                <w:highlight w:val="none"/>
              </w:rPr>
            </w:pPr>
            <w:r>
              <w:rPr>
                <w:rFonts w:hint="eastAsia" w:ascii="宋体" w:hAnsi="宋体" w:cs="宋体"/>
                <w:b/>
                <w:bCs/>
                <w:highlight w:val="none"/>
              </w:rPr>
              <w:t xml:space="preserve">是</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widowControl/>
              <w:rPr>
                <w:rFonts w:hint="eastAsia" w:ascii="宋体" w:hAnsi="宋体" w:cs="宋体"/>
                <w:b/>
                <w:bCs/>
                <w:highlight w:val="none"/>
              </w:rPr>
            </w:pPr>
            <w:r>
              <w:rPr>
                <w:rFonts w:hint="eastAsia" w:ascii="宋体" w:hAnsi="宋体" w:cs="宋体"/>
                <w:b/>
                <w:bCs/>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color w:val="auto"/>
                <w:highlight w:val="none"/>
              </w:rPr>
            </w:pPr>
            <w:r>
              <w:rPr>
                <w:rFonts w:hint="eastAsia" w:ascii="宋体" w:hAnsi="宋体" w:cs="宋体"/>
                <w:color w:val="auto"/>
                <w:highlight w:val="none"/>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keepLines w:val="0"/>
              <w:keepNext w:val="0"/>
              <w:pageBreakBefore w:val="0"/>
              <w:spacing w:line="34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5" w:type="dxa"/>
            <w:vAlign w:val="center"/>
            <w:textDirection w:val="lrTb"/>
            <w:noWrap w:val="false"/>
          </w:tcPr>
          <w:p>
            <w:pPr>
              <w:jc w:val="left"/>
              <w:keepLines w:val="0"/>
              <w:keepNext w:val="0"/>
              <w:pageBreakBefore w:val="0"/>
              <w:spacing w:line="340" w:lineRule="exact"/>
              <w:widowControl/>
              <w:rPr>
                <w:rFonts w:hint="eastAsia" w:ascii="宋体" w:hAnsi="宋体" w:cs="宋体"/>
                <w:color w:val="auto"/>
                <w:highlight w:val="none"/>
              </w:rPr>
            </w:pPr>
            <w:r>
              <w:rPr>
                <w:rFonts w:hint="eastAsia" w:ascii="宋体" w:hAnsi="宋体" w:cs="宋体"/>
                <w:color w:val="auto"/>
                <w:highlight w:val="none"/>
              </w:rPr>
              <w:t xml:space="preserve">投标人提供详细的售后服务方案。</w:t>
            </w:r>
            <w:r/>
          </w:p>
          <w:p>
            <w:pPr>
              <w:jc w:val="left"/>
              <w:keepLines w:val="0"/>
              <w:keepNext w:val="0"/>
              <w:pageBreakBefore w:val="0"/>
              <w:spacing w:line="340" w:lineRule="exact"/>
              <w:widowControl/>
              <w:rPr>
                <w:rFonts w:hint="eastAsia" w:ascii="宋体" w:hAnsi="宋体" w:cs="宋体"/>
                <w:color w:val="auto"/>
                <w:highlight w:val="none"/>
              </w:rPr>
            </w:pPr>
            <w:r>
              <w:rPr>
                <w:rFonts w:hint="eastAsia" w:ascii="宋体" w:hAnsi="宋体" w:cs="宋体"/>
                <w:color w:val="auto"/>
                <w:highlight w:val="none"/>
              </w:rPr>
              <w:t xml:space="preserve">评委根据投标人售后人员配置、技术能力和时间</w:t>
            </w:r>
            <w:r>
              <w:rPr>
                <w:rFonts w:hint="eastAsia" w:ascii="宋体" w:hAnsi="宋体" w:cs="宋体"/>
                <w:color w:val="auto"/>
                <w:highlight w:val="none"/>
                <w:lang w:eastAsia="zh-CN"/>
              </w:rPr>
              <w:t xml:space="preserve">投标</w:t>
            </w:r>
            <w:r>
              <w:rPr>
                <w:rFonts w:hint="eastAsia" w:ascii="宋体" w:hAnsi="宋体" w:cs="宋体"/>
                <w:color w:val="auto"/>
                <w:highlight w:val="none"/>
              </w:rPr>
              <w:t xml:space="preserve">保障等方面综合考量投标人的综合服务能力，分两个等级：</w:t>
            </w:r>
            <w:r/>
          </w:p>
          <w:p>
            <w:pPr>
              <w:pStyle w:val="742"/>
              <w:jc w:val="left"/>
              <w:keepLines w:val="0"/>
              <w:keepNext w:val="0"/>
              <w:pageBreakBefore w:val="0"/>
              <w:spacing w:line="340" w:lineRule="exact"/>
              <w:rPr>
                <w:rFonts w:hAnsi="宋体" w:cs="宋体"/>
                <w:color w:val="auto"/>
                <w:szCs w:val="21"/>
                <w:highlight w:val="none"/>
              </w:rPr>
            </w:pPr>
            <w:r>
              <w:rPr>
                <w:rFonts w:hAnsi="宋体" w:cs="宋体"/>
                <w:color w:val="auto"/>
                <w:szCs w:val="21"/>
                <w:highlight w:val="none"/>
              </w:rPr>
              <w:t xml:space="preserve">A.能够提供真实在使用的截图服务工单（包含工单号、报修单位（用户单位）、故障现象、任务单状态、处理人等），服务方案详细可行，能为用户提供完善的维护维修和技术保障服务，得2分；</w:t>
            </w:r>
            <w:r/>
          </w:p>
          <w:p>
            <w:pPr>
              <w:jc w:val="left"/>
              <w:keepLines w:val="0"/>
              <w:keepNext w:val="0"/>
              <w:pageBreakBefore w:val="0"/>
              <w:spacing w:line="340" w:lineRule="exact"/>
              <w:widowControl/>
              <w:rPr>
                <w:rFonts w:hint="eastAsia" w:ascii="宋体" w:hAnsi="宋体" w:cs="宋体"/>
                <w:color w:val="auto"/>
                <w:highlight w:val="none"/>
              </w:rPr>
            </w:pPr>
            <w:r>
              <w:rPr>
                <w:rFonts w:hint="eastAsia" w:ascii="宋体" w:hAnsi="宋体" w:cs="宋体"/>
                <w:color w:val="auto"/>
                <w:highlight w:val="none"/>
              </w:rPr>
              <w:t xml:space="preserve">B.服务方案简单，仅能为用户提供有限的售后服务，得1分；</w:t>
            </w:r>
            <w:r/>
          </w:p>
          <w:p>
            <w:pPr>
              <w:jc w:val="left"/>
              <w:keepLines w:val="0"/>
              <w:keepNext w:val="0"/>
              <w:pageBreakBefore w:val="0"/>
              <w:spacing w:line="340" w:lineRule="exact"/>
              <w:widowControl/>
              <w:rPr>
                <w:rFonts w:hint="eastAsia" w:ascii="宋体" w:hAnsi="宋体" w:cs="宋体"/>
                <w:color w:val="auto"/>
                <w:highlight w:val="none"/>
                <w:lang w:bidi="ar"/>
              </w:rPr>
            </w:pPr>
            <w:r>
              <w:rPr>
                <w:rFonts w:hint="eastAsia" w:ascii="宋体" w:hAnsi="宋体" w:cs="宋体"/>
                <w:color w:val="auto"/>
                <w:highlight w:val="none"/>
              </w:rPr>
              <w:t xml:space="preserve">C.</w:t>
            </w:r>
            <w:r>
              <w:rPr>
                <w:rFonts w:hint="eastAsia" w:ascii="宋体" w:hAnsi="宋体" w:cs="宋体"/>
                <w:color w:val="auto"/>
                <w:highlight w:val="none"/>
                <w:lang w:bidi="ar"/>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jc w:val="center"/>
              <w:keepLines w:val="0"/>
              <w:keepNext w:val="0"/>
              <w:pageBreakBefore w:val="0"/>
              <w:spacing w:line="34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2</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是</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69" w:type="dxa"/>
            <w:vAlign w:val="center"/>
            <w:textDirection w:val="lrTb"/>
            <w:noWrap w:val="false"/>
          </w:tcPr>
          <w:p>
            <w:pP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商务分（客观分）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736"/>
              <w:jc w:val="center"/>
              <w:keepLines w:val="0"/>
              <w:keepNext w:val="0"/>
              <w:pageBreakBefore w:val="0"/>
              <w:spacing w:line="340" w:lineRule="exact"/>
              <w:rPr>
                <w:rFonts w:hint="default" w:eastAsia="宋体"/>
                <w:lang w:val="en-US" w:eastAsia="zh-CN"/>
              </w:rPr>
            </w:pPr>
            <w:r>
              <w:rPr>
                <w:rFonts w:hint="eastAsia"/>
                <w:lang w:val="en-US" w:eastAsia="zh-CN"/>
              </w:rPr>
              <w:t xml:space="preserve">453</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rPr>
              <w:t xml:space="preserve">技术分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5" w:type="dxa"/>
            <w:vAlign w:val="center"/>
            <w:textDirection w:val="lrTb"/>
            <w:noWrap w:val="false"/>
          </w:tcPr>
          <w:p>
            <w:pPr>
              <w:jc w:val="left"/>
              <w:keepLines w:val="0"/>
              <w:keepNext w:val="0"/>
              <w:pageBreakBefore w:val="0"/>
              <w:spacing w:line="340" w:lineRule="exact"/>
              <w:widowControl/>
              <w:rPr>
                <w:rFonts w:hint="eastAsia" w:asciiTheme="minorEastAsia" w:hAnsiTheme="minorEastAsia" w:eastAsiaTheme="minorEastAsia" w:cstheme="minorEastAsia"/>
              </w:rPr>
            </w:pPr>
            <w:r>
              <w:rPr>
                <w:rFonts w:hint="eastAsia" w:ascii="宋体" w:hAnsi="宋体" w:cs="宋体"/>
              </w:rPr>
              <w:t xml:space="preserve">根据投标单位技术偏离表中对本招标文件中产品技术指标（参数）的响应程度打分，所投产品全部满足招标文件技术参数要求得30分。1.带▲项为重要参数，出现一项负偏离扣1分；2.其他参数为一般参数，出现一项负偏离扣0.5分，扣完为止。</w:t>
            </w:r>
            <w:r>
              <w:rPr>
                <w:rFonts w:hint="eastAsia" w:asciiTheme="minorEastAsia" w:hAnsiTheme="minorEastAsia" w:eastAsiaTheme="minorEastAsia" w:cstheme="minorEastAsia"/>
                <w:color w:val="auto"/>
              </w:rPr>
              <w:t xml:space="preserve">打“★”项如有负偏离作为无效投标。如有提供虚假技术参数的，一经发现作</w:t>
            </w:r>
            <w:r>
              <w:rPr>
                <w:rFonts w:hint="eastAsia" w:asciiTheme="minorEastAsia" w:hAnsiTheme="minorEastAsia" w:eastAsiaTheme="minorEastAsia" w:cstheme="minorEastAsia"/>
              </w:rPr>
              <w:t xml:space="preserve">无效投标处理。</w:t>
            </w:r>
            <w:r/>
          </w:p>
          <w:p>
            <w:pPr>
              <w:pStyle w:val="736"/>
              <w:ind w:left="0" w:firstLine="0"/>
              <w:keepLines w:val="0"/>
              <w:keepNext w:val="0"/>
              <w:pageBreakBefore w:val="0"/>
              <w:spacing w:line="340" w:lineRule="exact"/>
              <w:rPr>
                <w:rFonts w:hint="eastAsia"/>
              </w:rPr>
            </w:pPr>
            <w:r>
              <w:rPr>
                <w:rFonts w:hint="eastAsia" w:asciiTheme="minorEastAsia" w:hAnsiTheme="minorEastAsia" w:eastAsiaTheme="minorEastAsia" w:cstheme="minorEastAsia"/>
                <w:b/>
                <w:bCs/>
              </w:rPr>
              <w:t xml:space="preserve">注：1、为便于评审，投标人在偏离表中逐条列出相关技术参数证明材料所在页码。投标人需如实填写所投产品参数。2、同一产品按参数点得分或扣分，不重复扣分。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736"/>
              <w:jc w:val="center"/>
              <w:keepLines w:val="0"/>
              <w:keepNext w:val="0"/>
              <w:pageBreakBefore w:val="0"/>
              <w:spacing w:line="340" w:lineRule="exact"/>
              <w:rPr>
                <w:rFonts w:hint="default" w:eastAsia="宋体"/>
                <w:lang w:val="en-US" w:eastAsia="zh-CN"/>
              </w:rPr>
            </w:pPr>
            <w:r>
              <w:rPr>
                <w:rFonts w:hint="eastAsia" w:ascii="宋体" w:hAnsi="宋体" w:cs="宋体"/>
                <w:b/>
                <w:bCs/>
                <w:strike/>
                <w:lang w:val="en-US" w:eastAsia="zh-CN"/>
              </w:rPr>
              <w:t xml:space="preserve">2</w:t>
            </w:r>
            <w:r>
              <w:rPr>
                <w:rFonts w:hint="eastAsia" w:ascii="宋体" w:hAnsi="宋体" w:cs="宋体"/>
                <w:b/>
                <w:bCs/>
                <w:strike w:val="0"/>
                <w:sz w:val="21"/>
                <w:szCs w:val="21"/>
                <w:lang w:val="en-US" w:eastAsia="zh-CN"/>
              </w:rPr>
              <w:t xml:space="preserve">30</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keepLines w:val="0"/>
              <w:keepNext w:val="0"/>
              <w:pageBreakBefore w:val="0"/>
              <w:spacing w:line="340" w:lineRule="exact"/>
              <w:widowControl/>
              <w:rPr>
                <w:rFonts w:hint="eastAsia" w:ascii="宋体" w:hAnsi="宋体" w:cs="宋体"/>
              </w:rPr>
            </w:pPr>
            <w:r>
              <w:rPr>
                <w:rFonts w:hint="eastAsia" w:ascii="宋体" w:hAnsi="宋体" w:cs="宋体"/>
              </w:rPr>
              <w:t xml:space="preserve">产品实力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5" w:type="dxa"/>
            <w:vAlign w:val="center"/>
            <w:textDirection w:val="lrTb"/>
            <w:noWrap w:val="false"/>
          </w:tcPr>
          <w:p>
            <w:pPr>
              <w:numPr>
                <w:ilvl w:val="0"/>
                <w:numId w:val="16"/>
              </w:numPr>
              <w:jc w:val="left"/>
              <w:keepLines w:val="0"/>
              <w:keepNext w:val="0"/>
              <w:pageBreakBefore w:val="0"/>
              <w:spacing w:line="340" w:lineRule="exact"/>
              <w:widowControl/>
              <w:rPr>
                <w:rFonts w:hint="eastAsia" w:ascii="宋体" w:hAnsi="宋体" w:cs="宋体"/>
                <w:color w:val="auto"/>
              </w:rPr>
            </w:pPr>
            <w:r>
              <w:rPr>
                <w:rFonts w:hint="eastAsia" w:ascii="宋体" w:hAnsi="宋体" w:cs="宋体"/>
              </w:rPr>
              <w:t xml:space="preserve">为保证设备兼容稳定性、维护的统一性和便捷性，校园网核心交换机、酒店网核心交换机、以太光汇聚交换机、48光口汇聚交换机、8口光接入设备、24口光光接入设备、教室24口光接入设备、24口POE接入设备、8电口千兆交换机、24口千兆接入交换机、24电口千兆POE交换机、8电口POE千兆交换机、光模块、万兆光模块、千兆光模块、无线AC控制器、面板式无线A</w:t>
            </w:r>
            <w:r>
              <w:rPr>
                <w:rFonts w:hint="eastAsia" w:ascii="宋体" w:hAnsi="宋体" w:cs="宋体"/>
                <w:color w:val="auto"/>
              </w:rPr>
              <w:t xml:space="preserve">P、放装式无线AP、放装式高密无线AP、室外无线AP，供应商所投以上所有产品为同一品牌的得3分，有一项不同品牌则不得分。</w:t>
            </w:r>
            <w:r/>
          </w:p>
          <w:p>
            <w:pPr>
              <w:pStyle w:val="736"/>
              <w:ind w:firstLine="0"/>
              <w:keepLines w:val="0"/>
              <w:keepNext w:val="0"/>
              <w:pageBreakBefore w:val="0"/>
              <w:spacing w:line="340" w:lineRule="exact"/>
              <w:rPr>
                <w:rFonts w:hint="eastAsia" w:ascii="宋体" w:hAnsi="宋体" w:cs="宋体"/>
                <w:sz w:val="21"/>
                <w:szCs w:val="21"/>
              </w:rPr>
            </w:pPr>
            <w:r>
              <w:rPr>
                <w:rFonts w:hint="eastAsia" w:ascii="宋体" w:hAnsi="宋体" w:cs="宋体"/>
                <w:color w:val="auto"/>
                <w:sz w:val="21"/>
                <w:szCs w:val="21"/>
              </w:rPr>
              <w:t xml:space="preserve">注：</w:t>
            </w:r>
            <w:r>
              <w:rPr>
                <w:rFonts w:hint="eastAsia" w:ascii="宋体" w:hAnsi="宋体" w:cs="宋体"/>
                <w:b/>
                <w:bCs/>
                <w:color w:val="auto"/>
                <w:sz w:val="21"/>
                <w:szCs w:val="21"/>
              </w:rPr>
              <w:t xml:space="preserve">上传证明资料</w:t>
            </w:r>
            <w:r>
              <w:rPr>
                <w:rFonts w:hint="eastAsia" w:ascii="宋体" w:hAnsi="宋体" w:cs="宋体"/>
                <w:b/>
                <w:bCs/>
                <w:color w:val="auto"/>
                <w:sz w:val="21"/>
                <w:szCs w:val="21"/>
                <w:lang w:val="en-US" w:eastAsia="zh-CN"/>
              </w:rPr>
              <w:t xml:space="preserve">扫描件</w:t>
            </w:r>
            <w:r>
              <w:rPr>
                <w:rFonts w:hint="eastAsia" w:ascii="宋体" w:hAnsi="宋体" w:cs="宋体"/>
                <w:b/>
                <w:bCs/>
                <w:color w:val="auto"/>
                <w:sz w:val="21"/>
                <w:szCs w:val="21"/>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3</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keepLines w:val="0"/>
              <w:keepNext w:val="0"/>
              <w:pageBreakBefore w:val="0"/>
              <w:spacing w:line="340" w:lineRule="exact"/>
              <w:widowControl/>
              <w:rPr>
                <w:rFonts w:hint="eastAsia" w:ascii="宋体" w:hAnsi="宋体" w:cs="宋体"/>
              </w:rPr>
            </w:pPr>
            <w:r>
              <w:rPr>
                <w:rFonts w:hint="eastAsia" w:ascii="宋体" w:hAnsi="宋体" w:cs="宋体"/>
              </w:rPr>
              <w:t xml:space="preserve">案例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5" w:type="dxa"/>
            <w:vAlign w:val="center"/>
            <w:textDirection w:val="lrTb"/>
            <w:noWrap w:val="false"/>
          </w:tcPr>
          <w:p>
            <w:pPr>
              <w:jc w:val="left"/>
              <w:keepLines w:val="0"/>
              <w:keepNext w:val="0"/>
              <w:pageBreakBefore w:val="0"/>
              <w:spacing w:line="340" w:lineRule="exact"/>
              <w:widowControl/>
              <w:rPr>
                <w:rFonts w:hint="eastAsia" w:ascii="宋体" w:hAnsi="宋体" w:cs="宋体"/>
              </w:rPr>
            </w:pPr>
            <w:r>
              <w:rPr>
                <w:rFonts w:hint="eastAsia" w:ascii="宋体" w:hAnsi="宋体" w:cs="宋体"/>
              </w:rPr>
              <w:t xml:space="preserve">根据投标单位提供的2023年5月1日以来签订的、</w:t>
            </w:r>
            <w:r>
              <w:rPr>
                <w:rFonts w:hint="eastAsia" w:ascii="宋体" w:hAnsi="宋体" w:cs="宋体"/>
                <w:b/>
                <w:bCs/>
              </w:rPr>
              <w:t xml:space="preserve">与本采购项目技术特点和需求类似的业绩，提供合同</w:t>
            </w:r>
            <w:r>
              <w:rPr>
                <w:rFonts w:hint="eastAsia" w:ascii="宋体" w:hAnsi="宋体" w:cs="宋体"/>
              </w:rPr>
              <w:t xml:space="preserve">（提供合同全文扫描件）</w:t>
            </w:r>
            <w:r>
              <w:rPr>
                <w:rFonts w:hint="eastAsia" w:ascii="宋体" w:hAnsi="宋体" w:cs="宋体"/>
                <w:b/>
                <w:bCs/>
              </w:rPr>
              <w:t xml:space="preserve">、验收报告</w:t>
            </w:r>
            <w:r>
              <w:rPr>
                <w:rFonts w:hint="eastAsia" w:ascii="宋体" w:hAnsi="宋体" w:cs="宋体"/>
                <w:b/>
                <w:bCs/>
                <w:color w:val="ff0000"/>
                <w:lang w:val="en-US" w:eastAsia="zh-CN"/>
              </w:rPr>
              <w:t xml:space="preserve">和</w:t>
            </w:r>
            <w:r>
              <w:rPr>
                <w:rFonts w:hint="eastAsia" w:ascii="宋体" w:hAnsi="宋体" w:cs="宋体"/>
                <w:b/>
                <w:bCs/>
              </w:rPr>
              <w:t xml:space="preserve">结算</w:t>
            </w:r>
            <w:r>
              <w:rPr>
                <w:rFonts w:hint="eastAsia" w:ascii="宋体" w:hAnsi="宋体" w:cs="宋体"/>
                <w:b/>
                <w:bCs/>
                <w:lang w:val="en-US" w:eastAsia="zh-CN"/>
              </w:rPr>
              <w:t xml:space="preserve">凭证</w:t>
            </w:r>
            <w:r>
              <w:rPr>
                <w:rFonts w:hint="eastAsia" w:ascii="宋体" w:hAnsi="宋体" w:cs="宋体"/>
                <w:b/>
                <w:bCs/>
              </w:rPr>
              <w:t xml:space="preserve">作为证明材料</w:t>
            </w:r>
            <w:r>
              <w:rPr>
                <w:rFonts w:hint="eastAsia" w:ascii="宋体" w:hAnsi="宋体" w:cs="宋体"/>
              </w:rPr>
              <w:t xml:space="preserve">（提供项目验收报告</w:t>
            </w:r>
            <w:r>
              <w:rPr>
                <w:rFonts w:hint="eastAsia" w:ascii="宋体" w:hAnsi="宋体" w:cs="宋体"/>
                <w:color w:val="ff0000"/>
                <w:lang w:val="en-US" w:eastAsia="zh-CN"/>
              </w:rPr>
              <w:t xml:space="preserve">和</w:t>
            </w:r>
            <w:r>
              <w:rPr>
                <w:rFonts w:hint="eastAsia" w:ascii="宋体" w:hAnsi="宋体" w:cs="宋体"/>
              </w:rPr>
              <w:t xml:space="preserve">结算发票扫描件）进行评价，合同需符合下述要求：</w:t>
            </w:r>
            <w:r/>
          </w:p>
          <w:p>
            <w:pPr>
              <w:jc w:val="left"/>
              <w:keepLines w:val="0"/>
              <w:keepNext w:val="0"/>
              <w:pageBreakBefore w:val="0"/>
              <w:spacing w:line="340" w:lineRule="exact"/>
              <w:widowControl/>
              <w:rPr>
                <w:rFonts w:hint="eastAsia" w:ascii="宋体" w:hAnsi="宋体" w:cs="宋体"/>
              </w:rPr>
            </w:pPr>
            <w:r>
              <w:rPr>
                <w:rFonts w:hint="eastAsia" w:ascii="宋体" w:hAnsi="宋体" w:cs="宋体"/>
              </w:rPr>
              <w:t xml:space="preserve">1. 合同时间以签订日期为准。</w:t>
            </w:r>
            <w:r/>
          </w:p>
          <w:p>
            <w:pPr>
              <w:jc w:val="left"/>
              <w:keepLines w:val="0"/>
              <w:keepNext w:val="0"/>
              <w:pageBreakBefore w:val="0"/>
              <w:spacing w:line="340" w:lineRule="exact"/>
              <w:widowControl/>
              <w:rPr>
                <w:rFonts w:hint="eastAsia" w:ascii="宋体" w:hAnsi="宋体" w:cs="宋体"/>
              </w:rPr>
            </w:pPr>
            <w:r>
              <w:rPr>
                <w:rFonts w:hint="eastAsia" w:ascii="宋体" w:hAnsi="宋体" w:cs="宋体"/>
              </w:rPr>
              <w:t xml:space="preserve">2. 每提供1份得1分，最高得2分。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2</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keepLines w:val="0"/>
              <w:keepNext w:val="0"/>
              <w:pageBreakBefore w:val="0"/>
              <w:spacing w:line="340" w:lineRule="exact"/>
              <w:widowControl/>
              <w:rPr>
                <w:rFonts w:hint="eastAsia" w:ascii="宋体" w:hAnsi="宋体" w:cs="宋体"/>
              </w:rPr>
            </w:pPr>
            <w:r>
              <w:rPr>
                <w:rFonts w:hint="eastAsia" w:ascii="宋体" w:hAnsi="宋体" w:cs="宋体"/>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5" w:type="dxa"/>
            <w:vAlign w:val="center"/>
            <w:textDirection w:val="lrTb"/>
            <w:noWrap w:val="false"/>
          </w:tcPr>
          <w:p>
            <w:pPr>
              <w:jc w:val="left"/>
              <w:keepLines w:val="0"/>
              <w:keepNext w:val="0"/>
              <w:pageBreakBefore w:val="0"/>
              <w:spacing w:line="340" w:lineRule="exact"/>
              <w:rPr>
                <w:rFonts w:hint="eastAsia" w:ascii="宋体" w:hAnsi="宋体" w:cs="宋体"/>
              </w:rPr>
            </w:pPr>
            <w:r>
              <w:rPr>
                <w:rFonts w:hint="eastAsia" w:ascii="宋体" w:hAnsi="宋体" w:cs="宋体"/>
              </w:rPr>
              <w:t xml:space="preserve">1.《建筑业企业资质证书》电子与智能化工程专业承包资质二级及以上资质，得2分。</w:t>
            </w:r>
            <w:r/>
          </w:p>
          <w:p>
            <w:pPr>
              <w:jc w:val="left"/>
              <w:keepLines w:val="0"/>
              <w:keepNext w:val="0"/>
              <w:pageBreakBefore w:val="0"/>
              <w:spacing w:line="340" w:lineRule="exact"/>
              <w:rPr>
                <w:rFonts w:hint="eastAsia" w:ascii="宋体" w:hAnsi="宋体" w:cs="宋体"/>
                <w:color w:val="auto"/>
              </w:rPr>
            </w:pPr>
            <w:r>
              <w:rPr>
                <w:rFonts w:hint="eastAsia" w:ascii="宋体" w:hAnsi="宋体" w:cs="宋体"/>
              </w:rPr>
              <w:t xml:space="preserve">2.投标人</w:t>
            </w:r>
            <w:r>
              <w:rPr>
                <w:rFonts w:hint="eastAsia" w:ascii="宋体" w:hAnsi="宋体" w:cs="宋体"/>
                <w:color w:val="auto"/>
              </w:rPr>
              <w:t xml:space="preserve">具有ITSS（信息技术服务运行维护标准）符合性证书，成熟度等级（通用标准三级及以上），得1分。</w:t>
            </w:r>
            <w:r/>
          </w:p>
          <w:p>
            <w:pPr>
              <w:jc w:val="left"/>
              <w:keepLines w:val="0"/>
              <w:keepNext w:val="0"/>
              <w:pageBreakBefore w:val="0"/>
              <w:spacing w:line="340" w:lineRule="exact"/>
              <w:widowControl/>
              <w:rPr>
                <w:rFonts w:hint="eastAsia" w:ascii="宋体" w:hAnsi="宋体" w:cs="宋体"/>
                <w:color w:val="auto"/>
              </w:rPr>
            </w:pPr>
            <w:r>
              <w:rPr>
                <w:rFonts w:hint="eastAsia" w:ascii="宋体" w:hAnsi="宋体" w:cs="宋体"/>
                <w:color w:val="auto"/>
              </w:rPr>
              <w:t xml:space="preserve">3.具备有效期内的质量管理体系认证证书</w:t>
            </w:r>
            <w:r>
              <w:rPr>
                <w:rFonts w:hint="eastAsia" w:asciiTheme="minorEastAsia" w:hAnsiTheme="minorEastAsia" w:eastAsiaTheme="minorEastAsia" w:cstheme="minorEastAsia"/>
                <w:color w:val="auto"/>
              </w:rPr>
              <w:t xml:space="preserve">（GB/T19001-2016/ISO 9001:2015）</w:t>
            </w:r>
            <w:r>
              <w:rPr>
                <w:rFonts w:hint="eastAsia" w:ascii="宋体" w:hAnsi="宋体" w:cs="宋体"/>
                <w:color w:val="auto"/>
              </w:rPr>
              <w:t xml:space="preserve">、信息安全管理体系认证证书（GB/T 22080-2025 / ISO/IEC 27001:2022）、信息技术服务管理体系认证证书（ GB/T 24405.1或ISO/IEC 20000-1:2018）、环境管理体系认证（GB/T 24001 / ISO 14001），每个得1分，最高4分。</w:t>
            </w:r>
            <w:r/>
          </w:p>
          <w:p>
            <w:pPr>
              <w:pStyle w:val="736"/>
              <w:ind w:firstLine="0"/>
              <w:keepLines w:val="0"/>
              <w:keepNext w:val="0"/>
              <w:pageBreakBefore w:val="0"/>
              <w:spacing w:line="340" w:lineRule="exact"/>
              <w:rPr>
                <w:rFonts w:hint="eastAsia" w:ascii="宋体" w:hAnsi="宋体" w:cs="宋体"/>
                <w:sz w:val="21"/>
                <w:szCs w:val="21"/>
              </w:rPr>
            </w:pPr>
            <w:r>
              <w:rPr>
                <w:rFonts w:hint="eastAsia" w:asciiTheme="minorEastAsia" w:hAnsiTheme="minorEastAsia" w:eastAsiaTheme="minorEastAsia" w:cstheme="minorEastAsia"/>
                <w:b/>
                <w:bCs/>
                <w:color w:val="auto"/>
              </w:rPr>
              <w:t xml:space="preserve">提供有效证书扫描件</w:t>
            </w:r>
            <w:r>
              <w:rPr>
                <w:rFonts w:hint="eastAsia" w:ascii="宋体" w:hAnsi="宋体" w:cs="宋体"/>
                <w:b/>
                <w:bCs/>
                <w:color w:val="auto"/>
              </w:rPr>
              <w:t xml:space="preserve">加盖公章</w:t>
            </w:r>
            <w:r>
              <w:rPr>
                <w:rFonts w:hint="eastAsia" w:asciiTheme="minorEastAsia" w:hAnsiTheme="minorEastAsia" w:eastAsiaTheme="minorEastAsia" w:cstheme="minorEastAsia"/>
                <w:b/>
                <w:bCs/>
                <w:color w:val="auto"/>
              </w:rPr>
              <w:t xml:space="preserve">，否则不得分。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7</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keepLines w:val="0"/>
              <w:keepNext w:val="0"/>
              <w:pageBreakBefore w:val="0"/>
              <w:spacing w:line="340" w:lineRule="exact"/>
              <w:widowControl/>
              <w:rPr>
                <w:rFonts w:hint="eastAsia" w:ascii="宋体" w:hAnsi="宋体" w:cs="宋体"/>
              </w:rPr>
            </w:pPr>
            <w:r>
              <w:rPr>
                <w:rFonts w:hint="eastAsia" w:ascii="宋体" w:hAnsi="宋体" w:cs="宋体"/>
              </w:rPr>
              <w:t xml:space="preserve">项目组成员实力评价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5" w:type="dxa"/>
            <w:vAlign w:val="center"/>
            <w:textDirection w:val="lrTb"/>
            <w:noWrap w:val="false"/>
          </w:tcPr>
          <w:p>
            <w:pPr>
              <w:jc w:val="left"/>
              <w:keepLines w:val="0"/>
              <w:keepNext w:val="0"/>
              <w:pageBreakBefore w:val="0"/>
              <w:spacing w:line="340" w:lineRule="exact"/>
              <w:rPr>
                <w:rFonts w:hint="eastAsia" w:ascii="宋体" w:hAnsi="宋体" w:cs="宋体"/>
                <w:highlight w:val="none"/>
              </w:rPr>
            </w:pPr>
            <w:r>
              <w:rPr>
                <w:rFonts w:hint="eastAsia" w:ascii="宋体" w:hAnsi="宋体" w:cs="宋体"/>
                <w:highlight w:val="none"/>
              </w:rPr>
              <w:t xml:space="preserve">投标人须提供《项目团队成员一览表》及相应证明材料。根据团队配置情况评分，本项最高得7分。</w:t>
            </w:r>
            <w:r/>
          </w:p>
          <w:p>
            <w:pPr>
              <w:jc w:val="left"/>
              <w:keepLines w:val="0"/>
              <w:keepNext w:val="0"/>
              <w:pageBreakBefore w:val="0"/>
              <w:spacing w:line="340" w:lineRule="exact"/>
              <w:rPr>
                <w:rFonts w:hint="eastAsia" w:ascii="宋体" w:hAnsi="宋体" w:cs="宋体"/>
                <w:highlight w:val="none"/>
              </w:rPr>
            </w:pPr>
            <w:r>
              <w:rPr>
                <w:rFonts w:hint="eastAsia" w:ascii="宋体" w:hAnsi="宋体" w:cs="宋体"/>
                <w:highlight w:val="none"/>
              </w:rPr>
              <w:t xml:space="preserve">1. 项目负责人</w:t>
            </w:r>
            <w:r/>
          </w:p>
          <w:p>
            <w:pPr>
              <w:jc w:val="left"/>
              <w:keepLines w:val="0"/>
              <w:keepNext w:val="0"/>
              <w:pageBreakBefore w:val="0"/>
              <w:spacing w:line="340" w:lineRule="exact"/>
              <w:rPr>
                <w:rFonts w:hint="eastAsia" w:ascii="宋体" w:hAnsi="宋体" w:cs="宋体"/>
                <w:highlight w:val="none"/>
              </w:rPr>
            </w:pPr>
            <w:r>
              <w:rPr>
                <w:rFonts w:hint="eastAsia" w:ascii="宋体" w:hAnsi="宋体" w:cs="宋体"/>
                <w:highlight w:val="none"/>
              </w:rPr>
              <w:t xml:space="preserve">本项限报1人，最高得</w:t>
            </w:r>
            <w:r>
              <w:rPr>
                <w:rFonts w:hint="eastAsia" w:ascii="宋体" w:hAnsi="宋体" w:cs="宋体"/>
                <w:highlight w:val="none"/>
                <w:lang w:val="en-US" w:eastAsia="zh-CN"/>
              </w:rPr>
              <w:t xml:space="preserve">2</w:t>
            </w:r>
            <w:r>
              <w:rPr>
                <w:rFonts w:hint="eastAsia" w:ascii="宋体" w:hAnsi="宋体" w:cs="宋体"/>
                <w:highlight w:val="none"/>
              </w:rPr>
              <w:t xml:space="preserve">分。</w:t>
            </w:r>
            <w:r/>
          </w:p>
          <w:p>
            <w:pPr>
              <w:numPr>
                <w:ilvl w:val="0"/>
                <w:numId w:val="17"/>
              </w:numPr>
              <w:jc w:val="left"/>
              <w:keepLines w:val="0"/>
              <w:keepNext w:val="0"/>
              <w:pageBreakBefore w:val="0"/>
              <w:spacing w:line="340" w:lineRule="exact"/>
              <w:rPr>
                <w:rFonts w:hint="eastAsia" w:ascii="宋体" w:hAnsi="宋体" w:cs="宋体"/>
                <w:highlight w:val="none"/>
              </w:rPr>
            </w:pPr>
            <w:r>
              <w:rPr>
                <w:rFonts w:hint="eastAsia" w:ascii="宋体" w:hAnsi="宋体" w:eastAsia="宋体" w:cs="宋体"/>
                <w:color w:val="auto"/>
                <w:sz w:val="21"/>
                <w:szCs w:val="21"/>
                <w:highlight w:val="none"/>
              </w:rPr>
              <w:t xml:space="preserve">信息系统</w:t>
            </w:r>
            <w:r>
              <w:rPr>
                <w:rFonts w:hint="eastAsia" w:ascii="宋体" w:hAnsi="宋体" w:eastAsia="宋体" w:cs="宋体"/>
                <w:color w:val="auto"/>
                <w:sz w:val="21"/>
                <w:szCs w:val="21"/>
                <w:highlight w:val="none"/>
                <w:lang w:val="en-US" w:eastAsia="zh-CN"/>
              </w:rPr>
              <w:t xml:space="preserve">项目管理师（</w:t>
            </w:r>
            <w:r>
              <w:rPr>
                <w:rFonts w:hint="eastAsia" w:ascii="宋体" w:hAnsi="宋体" w:eastAsia="宋体" w:cs="宋体"/>
                <w:color w:val="auto"/>
                <w:sz w:val="21"/>
                <w:szCs w:val="21"/>
                <w:highlight w:val="none"/>
              </w:rPr>
              <w:t xml:space="preserve">高级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en-US" w:eastAsia="zh-CN"/>
              </w:rPr>
              <w:t xml:space="preserve">电子信息专业高级工程师</w:t>
            </w:r>
            <w:r>
              <w:rPr>
                <w:rFonts w:hint="eastAsia" w:ascii="宋体" w:hAnsi="宋体" w:cs="宋体"/>
                <w:highlight w:val="none"/>
              </w:rPr>
              <w:t xml:space="preserve">证书，得1分。</w:t>
            </w:r>
            <w:r/>
          </w:p>
          <w:p>
            <w:pPr>
              <w:numPr>
                <w:ilvl w:val="0"/>
                <w:numId w:val="17"/>
              </w:numPr>
              <w:jc w:val="left"/>
              <w:keepLines w:val="0"/>
              <w:keepNext w:val="0"/>
              <w:pageBreakBefore w:val="0"/>
              <w:spacing w:line="340" w:lineRule="exact"/>
              <w:rPr>
                <w:rFonts w:hint="eastAsia" w:ascii="宋体" w:hAnsi="宋体" w:cs="宋体"/>
                <w:highlight w:val="none"/>
              </w:rPr>
            </w:pPr>
            <w:r>
              <w:rPr>
                <w:rFonts w:hint="eastAsia" w:ascii="宋体" w:hAnsi="宋体" w:eastAsia="宋体" w:cs="宋体"/>
                <w:color w:val="auto"/>
                <w:sz w:val="21"/>
                <w:szCs w:val="21"/>
                <w:highlight w:val="none"/>
              </w:rPr>
              <w:t xml:space="preserve">IT服务项目经理（ITSS）</w:t>
            </w:r>
            <w:r>
              <w:rPr>
                <w:rFonts w:hint="eastAsia" w:ascii="宋体" w:hAnsi="宋体" w:eastAsia="宋体" w:cs="宋体"/>
                <w:color w:val="auto"/>
                <w:sz w:val="21"/>
                <w:szCs w:val="21"/>
                <w:highlight w:val="none"/>
                <w:lang w:val="en-US" w:eastAsia="zh-CN"/>
              </w:rPr>
              <w:t xml:space="preserve">证书，得1分。</w:t>
            </w:r>
            <w:r/>
          </w:p>
          <w:p>
            <w:pPr>
              <w:jc w:val="left"/>
              <w:keepLines w:val="0"/>
              <w:keepNext w:val="0"/>
              <w:pageBreakBefore w:val="0"/>
              <w:spacing w:line="340" w:lineRule="exact"/>
              <w:rPr>
                <w:rFonts w:hint="eastAsia" w:ascii="宋体" w:hAnsi="宋体" w:cs="宋体"/>
                <w:highlight w:val="none"/>
              </w:rPr>
            </w:pPr>
            <w:r>
              <w:rPr>
                <w:rFonts w:hint="eastAsia" w:ascii="宋体" w:hAnsi="宋体" w:cs="宋体"/>
                <w:highlight w:val="none"/>
              </w:rPr>
              <w:t xml:space="preserve">2. 技术负责人</w:t>
            </w:r>
            <w:r/>
          </w:p>
          <w:p>
            <w:pPr>
              <w:jc w:val="left"/>
              <w:keepLines w:val="0"/>
              <w:keepNext w:val="0"/>
              <w:pageBreakBefore w:val="0"/>
              <w:spacing w:line="340" w:lineRule="exact"/>
              <w:rPr>
                <w:rFonts w:hint="eastAsia" w:ascii="宋体" w:hAnsi="宋体" w:cs="宋体"/>
                <w:highlight w:val="none"/>
              </w:rPr>
            </w:pPr>
            <w:r>
              <w:rPr>
                <w:rFonts w:hint="eastAsia" w:ascii="宋体" w:hAnsi="宋体" w:cs="宋体"/>
                <w:highlight w:val="none"/>
              </w:rPr>
              <w:t xml:space="preserve">本项限报1人，最高得</w:t>
            </w:r>
            <w:r>
              <w:rPr>
                <w:rFonts w:hint="eastAsia" w:ascii="宋体" w:hAnsi="宋体" w:cs="宋体"/>
                <w:highlight w:val="none"/>
                <w:lang w:val="en-US" w:eastAsia="zh-CN"/>
              </w:rPr>
              <w:t xml:space="preserve">2</w:t>
            </w:r>
            <w:r>
              <w:rPr>
                <w:rFonts w:hint="eastAsia" w:ascii="宋体" w:hAnsi="宋体" w:cs="宋体"/>
                <w:highlight w:val="none"/>
              </w:rPr>
              <w:t xml:space="preserve">分。</w:t>
            </w:r>
            <w:r/>
          </w:p>
          <w:p>
            <w:pPr>
              <w:numPr>
                <w:ilvl w:val="0"/>
                <w:numId w:val="18"/>
              </w:numPr>
              <w:jc w:val="left"/>
              <w:keepLines w:val="0"/>
              <w:keepNext w:val="0"/>
              <w:pageBreakBefore w:val="0"/>
              <w:spacing w:line="34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一级注册建造师（通信与广电工程</w:t>
            </w:r>
            <w:r>
              <w:rPr>
                <w:rFonts w:hint="eastAsia" w:asciiTheme="minorEastAsia" w:hAnsiTheme="minorEastAsia" w:eastAsiaTheme="minorEastAsia" w:cstheme="minorEastAsia"/>
                <w:highlight w:val="none"/>
                <w:lang w:val="en-US" w:eastAsia="zh-CN"/>
              </w:rPr>
              <w:t xml:space="preserve">或机电工程</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lang w:val="en-US" w:eastAsia="zh-CN"/>
              </w:rPr>
              <w:t xml:space="preserve">得1分。</w:t>
            </w:r>
            <w:r/>
          </w:p>
          <w:p>
            <w:pPr>
              <w:numPr>
                <w:ilvl w:val="0"/>
                <w:numId w:val="18"/>
              </w:numPr>
              <w:jc w:val="left"/>
              <w:keepLines w:val="0"/>
              <w:keepNext w:val="0"/>
              <w:pageBreakBefore w:val="0"/>
              <w:spacing w:line="340" w:lineRule="exact"/>
              <w:rPr>
                <w:rFonts w:hint="eastAsia" w:ascii="宋体" w:hAnsi="宋体" w:eastAsia="宋体" w:cs="宋体"/>
                <w:highlight w:val="none"/>
                <w:lang w:val="en-US" w:eastAsia="zh-CN"/>
              </w:rPr>
            </w:pPr>
            <w:r>
              <w:rPr>
                <w:rFonts w:hint="eastAsia" w:ascii="宋体" w:hAnsi="宋体" w:cs="宋体"/>
                <w:highlight w:val="none"/>
              </w:rPr>
              <w:t xml:space="preserve">具备网络规划设计师（软考高级）或主流厂商（如华为、H3C、锐捷等）同等级别认证证书，得1分。</w:t>
            </w:r>
            <w:r/>
          </w:p>
          <w:p>
            <w:pPr>
              <w:jc w:val="left"/>
              <w:keepLines w:val="0"/>
              <w:keepNext w:val="0"/>
              <w:pageBreakBefore w:val="0"/>
              <w:spacing w:line="340" w:lineRule="exact"/>
              <w:rPr>
                <w:rFonts w:hint="eastAsia" w:ascii="宋体" w:hAnsi="宋体" w:cs="宋体"/>
                <w:highlight w:val="none"/>
              </w:rPr>
            </w:pPr>
            <w:r>
              <w:rPr>
                <w:rFonts w:hint="eastAsia" w:ascii="宋体" w:hAnsi="宋体" w:cs="宋体"/>
                <w:highlight w:val="none"/>
              </w:rPr>
              <w:t xml:space="preserve">3. 项目团队其他成员</w:t>
            </w:r>
            <w:r/>
          </w:p>
          <w:p>
            <w:pPr>
              <w:jc w:val="left"/>
              <w:keepLines w:val="0"/>
              <w:keepNext w:val="0"/>
              <w:pageBreakBefore w:val="0"/>
              <w:spacing w:line="340" w:lineRule="exact"/>
              <w:rPr>
                <w:rFonts w:hint="eastAsia" w:ascii="宋体" w:hAnsi="宋体" w:cs="宋体"/>
                <w:highlight w:val="none"/>
              </w:rPr>
            </w:pPr>
            <w:r>
              <w:rPr>
                <w:rFonts w:hint="eastAsia" w:ascii="宋体" w:hAnsi="宋体" w:cs="宋体"/>
                <w:highlight w:val="none"/>
              </w:rPr>
              <w:t xml:space="preserve">本项可报多人或1人，最高得</w:t>
            </w:r>
            <w:r>
              <w:rPr>
                <w:rFonts w:hint="eastAsia" w:ascii="宋体" w:hAnsi="宋体" w:cs="宋体"/>
                <w:highlight w:val="none"/>
                <w:lang w:val="en-US" w:eastAsia="zh-CN"/>
              </w:rPr>
              <w:t xml:space="preserve">3</w:t>
            </w:r>
            <w:r>
              <w:rPr>
                <w:rFonts w:hint="eastAsia" w:ascii="宋体" w:hAnsi="宋体" w:cs="宋体"/>
                <w:highlight w:val="none"/>
              </w:rPr>
              <w:t xml:space="preserve">分。</w:t>
            </w:r>
            <w:r/>
          </w:p>
          <w:p>
            <w:pPr>
              <w:jc w:val="left"/>
              <w:keepLines w:val="0"/>
              <w:keepNext w:val="0"/>
              <w:pageBreakBefore w:val="0"/>
              <w:spacing w:line="340" w:lineRule="exact"/>
              <w:rPr>
                <w:rFonts w:hint="eastAsia" w:ascii="宋体" w:hAnsi="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Theme="minorEastAsia" w:hAnsiTheme="minorEastAsia" w:eastAsiaTheme="minorEastAsia" w:cstheme="minorEastAsia"/>
                <w:color w:val="auto"/>
                <w:highlight w:val="none"/>
              </w:rPr>
              <w:t xml:space="preserve">所投产品品牌的或工信、人社等国家相关职能部门认定的相应中级以上网络认证证书（</w:t>
            </w:r>
            <w:r>
              <w:rPr>
                <w:rFonts w:hint="eastAsia" w:asciiTheme="minorEastAsia" w:hAnsiTheme="minorEastAsia" w:eastAsiaTheme="minorEastAsia" w:cstheme="minorEastAsia"/>
                <w:color w:val="auto"/>
                <w:highlight w:val="none"/>
                <w:lang w:val="en-US" w:eastAsia="zh-CN"/>
              </w:rPr>
              <w:t xml:space="preserve">网络方向、</w:t>
            </w:r>
            <w:r>
              <w:rPr>
                <w:rFonts w:hint="eastAsia" w:asciiTheme="minorEastAsia" w:hAnsiTheme="minorEastAsia" w:eastAsiaTheme="minorEastAsia" w:cstheme="minorEastAsia"/>
                <w:color w:val="auto"/>
                <w:highlight w:val="none"/>
              </w:rPr>
              <w:t xml:space="preserve">安全</w:t>
            </w:r>
            <w:r>
              <w:rPr>
                <w:rFonts w:hint="eastAsia" w:asciiTheme="minorEastAsia" w:hAnsiTheme="minorEastAsia" w:eastAsiaTheme="minorEastAsia" w:cstheme="minorEastAsia"/>
                <w:color w:val="auto"/>
                <w:highlight w:val="none"/>
                <w:lang w:val="en-US" w:eastAsia="zh-CN"/>
              </w:rPr>
              <w:t xml:space="preserve">方向</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每满足1个得0.5分，共</w:t>
            </w:r>
            <w:r>
              <w:rPr>
                <w:rFonts w:hint="eastAsia" w:asciiTheme="minorEastAsia" w:hAnsiTheme="minorEastAsia" w:eastAsiaTheme="minorEastAsia" w:cstheme="minorEastAsia"/>
                <w:color w:val="auto"/>
                <w:highlight w:val="none"/>
              </w:rPr>
              <w:t xml:space="preserve">得1分</w:t>
            </w:r>
            <w:r>
              <w:rPr>
                <w:rFonts w:hint="eastAsia" w:ascii="宋体" w:hAnsi="宋体" w:cs="宋体"/>
                <w:highlight w:val="none"/>
              </w:rPr>
              <w:t xml:space="preserve">。</w:t>
            </w:r>
            <w:r/>
          </w:p>
          <w:p>
            <w:pPr>
              <w:jc w:val="left"/>
              <w:keepLines w:val="0"/>
              <w:keepNext w:val="0"/>
              <w:pageBreakBefore w:val="0"/>
              <w:spacing w:line="340" w:lineRule="exact"/>
              <w:rPr>
                <w:rFonts w:hint="eastAsia" w:ascii="宋体" w:hAnsi="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rPr>
              <w:t xml:space="preserve">团队中至少有1人具备网络迁移或旧设备替换项目经验（须提供项目合同或验收报告等证明材料，并标注该成员为参与人），得1分。</w:t>
            </w:r>
            <w:r/>
          </w:p>
          <w:p>
            <w:pPr>
              <w:jc w:val="left"/>
              <w:keepLines w:val="0"/>
              <w:keepNext w:val="0"/>
              <w:pageBreakBefore w:val="0"/>
              <w:spacing w:line="340" w:lineRule="exact"/>
              <w:rPr>
                <w:rFonts w:hint="eastAsia" w:ascii="宋体" w:hAnsi="宋体" w:eastAsia="宋体" w:cs="宋体"/>
                <w:highlight w:val="none"/>
                <w:lang w:eastAsia="zh-CN"/>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3）</w:t>
            </w:r>
            <w:r>
              <w:rPr>
                <w:rFonts w:hint="eastAsia" w:asciiTheme="minorEastAsia" w:hAnsiTheme="minorEastAsia" w:eastAsiaTheme="minorEastAsia" w:cstheme="minorEastAsia"/>
                <w:color w:val="auto"/>
                <w:highlight w:val="none"/>
              </w:rPr>
              <w:t xml:space="preserve">具备</w:t>
            </w:r>
            <w:r>
              <w:rPr>
                <w:rFonts w:hint="eastAsia" w:ascii="宋体" w:hAnsi="宋体" w:eastAsia="宋体" w:cs="宋体"/>
                <w:color w:val="auto"/>
                <w:sz w:val="21"/>
                <w:szCs w:val="21"/>
                <w:highlight w:val="none"/>
                <w:lang w:val="en-US" w:eastAsia="zh-CN"/>
              </w:rPr>
              <w:t xml:space="preserve">工信、人社等国家相关职能部门认定的</w:t>
            </w:r>
            <w:r>
              <w:rPr>
                <w:rFonts w:hint="eastAsia" w:asciiTheme="minorEastAsia" w:hAnsiTheme="minorEastAsia" w:eastAsiaTheme="minorEastAsia" w:cstheme="minorEastAsia"/>
                <w:color w:val="auto"/>
                <w:highlight w:val="none"/>
              </w:rPr>
              <w:t xml:space="preserve">高级网络和信息安全工程师</w:t>
            </w:r>
            <w:r>
              <w:rPr>
                <w:rFonts w:hint="eastAsia" w:asciiTheme="minorEastAsia" w:hAnsiTheme="minorEastAsia" w:eastAsiaTheme="minorEastAsia" w:cstheme="minorEastAsia"/>
                <w:color w:val="auto"/>
                <w:highlight w:val="none"/>
                <w:lang w:val="en-US" w:eastAsia="zh-CN"/>
              </w:rPr>
              <w:t xml:space="preserve">或</w:t>
            </w:r>
            <w:r>
              <w:rPr>
                <w:rFonts w:hint="eastAsia" w:asciiTheme="minorEastAsia" w:hAnsiTheme="minorEastAsia" w:eastAsiaTheme="minorEastAsia" w:cstheme="minorEastAsia"/>
                <w:color w:val="auto"/>
                <w:highlight w:val="none"/>
              </w:rPr>
              <w:t xml:space="preserve">注册信息安全专业人员（CISP</w:t>
            </w:r>
            <w:r>
              <w:rPr>
                <w:rFonts w:hint="eastAsia" w:asciiTheme="minorEastAsia" w:hAnsiTheme="minorEastAsia" w:eastAsiaTheme="minorEastAsia" w:cstheme="minorEastAsia"/>
                <w:color w:val="auto"/>
                <w:highlight w:val="none"/>
                <w:lang w:val="en-US" w:eastAsia="zh-CN"/>
              </w:rPr>
              <w:t xml:space="preserve">及以上</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或信息安全保障人员认证证书(CISAW)</w:t>
            </w:r>
            <w:r>
              <w:rPr>
                <w:rFonts w:hint="eastAsia" w:ascii="宋体" w:hAnsi="宋体" w:cs="宋体"/>
                <w:highlight w:val="none"/>
              </w:rPr>
              <w:t xml:space="preserve">，得1分</w:t>
            </w:r>
            <w:r>
              <w:rPr>
                <w:rFonts w:hint="eastAsia" w:ascii="宋体" w:hAnsi="宋体" w:cs="宋体"/>
                <w:highlight w:val="none"/>
                <w:lang w:eastAsia="zh-CN"/>
              </w:rPr>
              <w:t xml:space="preserve">。</w:t>
            </w:r>
            <w:r/>
          </w:p>
          <w:p>
            <w:pPr>
              <w:jc w:val="left"/>
              <w:keepLines w:val="0"/>
              <w:keepNext w:val="0"/>
              <w:pageBreakBefore w:val="0"/>
              <w:spacing w:line="340" w:lineRule="exact"/>
              <w:rPr>
                <w:rFonts w:hint="eastAsia" w:ascii="宋体" w:hAnsi="宋体" w:cs="宋体"/>
                <w:highlight w:val="none"/>
              </w:rPr>
            </w:pPr>
            <w:r>
              <w:rPr>
                <w:rFonts w:hint="eastAsia" w:ascii="宋体" w:hAnsi="宋体" w:cs="宋体"/>
                <w:highlight w:val="none"/>
              </w:rPr>
              <w:t xml:space="preserve">注：</w:t>
            </w:r>
            <w:r/>
          </w:p>
          <w:p>
            <w:pPr>
              <w:jc w:val="left"/>
              <w:keepLines w:val="0"/>
              <w:keepNext w:val="0"/>
              <w:pageBreakBefore w:val="0"/>
              <w:spacing w:line="340" w:lineRule="exact"/>
              <w:rPr>
                <w:rFonts w:hint="eastAsia" w:ascii="宋体" w:hAnsi="宋体" w:cs="宋体"/>
                <w:highlight w:val="none"/>
              </w:rPr>
            </w:pPr>
            <w:r>
              <w:rPr>
                <w:rFonts w:hint="eastAsia" w:ascii="宋体" w:hAnsi="宋体" w:cs="宋体"/>
                <w:highlight w:val="none"/>
              </w:rPr>
              <w:t xml:space="preserve">①同一资质（如同一证书、同一经验证明）由团队多人具备的，不重复计分。</w:t>
            </w:r>
            <w:r/>
          </w:p>
          <w:p>
            <w:pPr>
              <w:jc w:val="left"/>
              <w:keepLines w:val="0"/>
              <w:keepNext w:val="0"/>
              <w:pageBreakBefore w:val="0"/>
              <w:spacing w:line="340" w:lineRule="exact"/>
              <w:widowControl/>
              <w:rPr>
                <w:rFonts w:hint="default" w:ascii="宋体" w:hAnsi="宋体" w:cs="宋体"/>
                <w:highlight w:val="none"/>
                <w:lang w:val="en-US" w:eastAsia="zh-CN"/>
              </w:rPr>
            </w:pPr>
            <w:r>
              <w:rPr>
                <w:rFonts w:hint="eastAsia" w:ascii="宋体" w:hAnsi="宋体" w:cs="宋体"/>
                <w:highlight w:val="none"/>
              </w:rPr>
              <w:t xml:space="preserve">②</w:t>
            </w:r>
            <w:r>
              <w:rPr>
                <w:rFonts w:hint="eastAsia" w:ascii="宋体" w:hAnsi="宋体" w:cs="宋体"/>
                <w:highlight w:val="none"/>
                <w:lang w:val="en-US" w:eastAsia="zh-CN"/>
              </w:rPr>
              <w:t xml:space="preserve">项目负责人、技术负责人、团队成员不能一人兼任。</w:t>
            </w:r>
            <w:r/>
          </w:p>
          <w:p>
            <w:pPr>
              <w:jc w:val="left"/>
              <w:keepLines w:val="0"/>
              <w:keepNext w:val="0"/>
              <w:pageBreakBefore w:val="0"/>
              <w:spacing w:line="340" w:lineRule="exact"/>
              <w:widowControl/>
              <w:rPr>
                <w:rFonts w:hint="eastAsia" w:ascii="宋体" w:hAnsi="宋体" w:cs="宋体"/>
              </w:rPr>
            </w:pPr>
            <w:r>
              <w:rPr>
                <w:rFonts w:hint="default" w:ascii="宋体" w:hAnsi="宋体" w:cs="宋体"/>
                <w:highlight w:val="none"/>
              </w:rPr>
              <w:t xml:space="preserve">③</w:t>
            </w:r>
            <w:r>
              <w:rPr>
                <w:rFonts w:hint="eastAsia" w:ascii="宋体" w:hAnsi="宋体" w:cs="宋体"/>
                <w:highlight w:val="none"/>
              </w:rPr>
              <w:t xml:space="preserve">所有证书须在有效期内，并提供证书扫描件及投标人为其缴纳的近三个月中任意一个月的社保证明。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b/>
                <w:bCs/>
                <w:lang w:eastAsia="zh-CN"/>
              </w:rPr>
            </w:pPr>
            <w:r>
              <w:rPr>
                <w:rFonts w:hint="eastAsia" w:ascii="宋体" w:hAnsi="宋体" w:cs="宋体"/>
                <w:b/>
                <w:bCs/>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keepLines w:val="0"/>
              <w:keepNext w:val="0"/>
              <w:pageBreakBefore w:val="0"/>
              <w:spacing w:line="340" w:lineRule="exact"/>
              <w:widowControl/>
              <w:rPr>
                <w:rFonts w:hint="eastAsia" w:ascii="宋体" w:hAnsi="宋体" w:cs="宋体"/>
              </w:rPr>
            </w:pPr>
            <w:r>
              <w:rPr>
                <w:rFonts w:hint="eastAsia" w:ascii="宋体" w:hAnsi="宋体" w:cs="宋体"/>
              </w:rPr>
              <w:t xml:space="preserve">质保期要求评价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5" w:type="dxa"/>
            <w:vAlign w:val="center"/>
            <w:textDirection w:val="lrTb"/>
            <w:noWrap w:val="false"/>
          </w:tcPr>
          <w:p>
            <w:pPr>
              <w:jc w:val="left"/>
              <w:keepLines w:val="0"/>
              <w:keepNext w:val="0"/>
              <w:pageBreakBefore w:val="0"/>
              <w:spacing w:line="340" w:lineRule="exact"/>
              <w:rPr>
                <w:rFonts w:hint="eastAsia" w:ascii="宋体" w:hAnsi="宋体" w:cs="宋体"/>
              </w:rPr>
            </w:pPr>
            <w:r>
              <w:rPr>
                <w:rFonts w:hint="eastAsia" w:ascii="宋体" w:hAnsi="宋体" w:cs="宋体"/>
              </w:rPr>
              <w:t xml:space="preserve">整体免费原厂质保三年的基础上，每延长一年整体质保期得1分，最高得3分</w:t>
            </w:r>
            <w:r>
              <w:rPr>
                <w:rFonts w:hint="eastAsia" w:ascii="宋体" w:hAnsi="宋体" w:cs="宋体"/>
                <w:lang w:val="en-US" w:eastAsia="zh-CN"/>
              </w:rPr>
              <w:t xml:space="preserve">；</w:t>
            </w:r>
            <w:r>
              <w:rPr>
                <w:rFonts w:hint="eastAsia" w:ascii="宋体" w:hAnsi="宋体" w:cs="宋体"/>
                <w:color w:val="auto"/>
              </w:rPr>
              <w:t xml:space="preserve">所有设备</w:t>
            </w:r>
            <w:r>
              <w:rPr>
                <w:rFonts w:hint="eastAsia" w:asciiTheme="minorEastAsia" w:hAnsiTheme="minorEastAsia" w:eastAsiaTheme="minorEastAsia" w:cstheme="minorEastAsia"/>
                <w:color w:val="auto"/>
              </w:rPr>
              <w:t xml:space="preserve">供应商提供备件先行替换服务：故障报修后</w:t>
            </w:r>
            <w:r>
              <w:rPr>
                <w:rFonts w:asciiTheme="minorEastAsia" w:hAnsiTheme="minorEastAsia" w:eastAsiaTheme="minorEastAsia" w:cstheme="minorEastAsia"/>
                <w:color w:val="auto"/>
              </w:rPr>
              <w:t xml:space="preserve">48</w:t>
            </w:r>
            <w:r>
              <w:rPr>
                <w:rFonts w:hint="eastAsia" w:asciiTheme="minorEastAsia" w:hAnsiTheme="minorEastAsia" w:eastAsiaTheme="minorEastAsia" w:cstheme="minorEastAsia"/>
                <w:color w:val="auto"/>
              </w:rPr>
              <w:t xml:space="preserve">小时内免费提供完好备件至用户现场更换服务后,再进行故障件回收，得1分；</w:t>
            </w:r>
            <w:r>
              <w:rPr>
                <w:rFonts w:hint="eastAsia" w:asciiTheme="minorEastAsia" w:hAnsiTheme="minorEastAsia" w:eastAsiaTheme="minorEastAsia" w:cstheme="minorEastAsia"/>
              </w:rPr>
              <w:t xml:space="preserve">本项最高得4分。</w:t>
            </w:r>
            <w:r>
              <w:rPr>
                <w:rFonts w:hint="eastAsia" w:asciiTheme="minorEastAsia" w:hAnsiTheme="minorEastAsia" w:eastAsiaTheme="minorEastAsia" w:cstheme="minorEastAsia"/>
                <w:b/>
                <w:bCs/>
              </w:rPr>
              <w:t xml:space="preserve">提供投标商承诺函</w:t>
            </w:r>
            <w:r>
              <w:rPr>
                <w:rFonts w:hint="eastAsia" w:ascii="宋体" w:hAnsi="宋体" w:cs="宋体"/>
                <w:b/>
                <w:bCs/>
              </w:rPr>
              <w:t xml:space="preserve">加盖公章</w:t>
            </w:r>
            <w:r>
              <w:rPr>
                <w:rFonts w:hint="eastAsia" w:asciiTheme="minorEastAsia" w:hAnsiTheme="minorEastAsia" w:eastAsiaTheme="minorEastAsia" w:cstheme="minorEastAsia"/>
                <w:b/>
                <w:bCs/>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b/>
                <w:bCs/>
                <w:lang w:eastAsia="zh-CN"/>
              </w:rPr>
            </w:pPr>
            <w:r>
              <w:rPr>
                <w:rFonts w:hint="eastAsia" w:ascii="宋体" w:hAnsi="宋体" w:cs="宋体"/>
                <w:b/>
                <w:bCs/>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jc w:val="center"/>
              <w:keepLines w:val="0"/>
              <w:keepNext w:val="0"/>
              <w:pageBreakBefore w:val="0"/>
              <w:spacing w:line="340" w:lineRule="exact"/>
              <w:widowControl/>
              <w:rPr>
                <w:rFonts w:hint="eastAsia" w:ascii="宋体" w:hAnsi="宋体" w:cs="宋体"/>
                <w:b/>
                <w:bCs/>
              </w:rPr>
            </w:pPr>
            <w:r>
              <w:rPr>
                <w:rFonts w:hint="eastAsia" w:ascii="宋体" w:hAnsi="宋体" w:cs="宋体"/>
                <w:b/>
                <w:bCs/>
              </w:rPr>
              <w:t xml:space="preserve">是</w:t>
            </w:r>
            <w:r/>
          </w:p>
        </w:tc>
      </w:tr>
    </w:tbl>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27"/>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36"/>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36"/>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36"/>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27"/>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27"/>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第六章  投标</w:t>
      </w:r>
      <w:bookmarkEnd w:id="192"/>
      <w:r/>
      <w:bookmarkEnd w:id="193"/>
      <w:r/>
      <w:bookmarkEnd w:id="194"/>
      <w:r>
        <w:rPr>
          <w:rFonts w:hint="eastAsia" w:asciiTheme="minorEastAsia" w:hAnsiTheme="minorEastAsia" w:eastAsiaTheme="minorEastAsia" w:cstheme="minorEastAsia"/>
          <w:bCs/>
          <w:sz w:val="44"/>
        </w:rPr>
        <w:t xml:space="preserve">文件格式</w:t>
      </w:r>
      <w:bookmarkEnd w:id="200"/>
      <w:r>
        <w:rPr>
          <w:rFonts w:hint="eastAsia" w:asciiTheme="minorEastAsia" w:hAnsiTheme="minorEastAsia" w:eastAsiaTheme="minorEastAsia" w:cstheme="minorEastAsia"/>
          <w:bCs/>
          <w:sz w:val="44"/>
        </w:rPr>
        <w:t xml:space="preserve"> </w:t>
      </w:r>
      <w:r/>
    </w:p>
    <w:p>
      <w:pPr>
        <w:jc w:val="center"/>
        <w:rPr>
          <w:rFonts w:hint="eastAsia" w:asciiTheme="minorEastAsia" w:hAnsiTheme="minorEastAsia" w:eastAsiaTheme="minorEastAsia" w:cstheme="minorEastAsia"/>
          <w:b/>
          <w:sz w:val="72"/>
        </w:rPr>
      </w:pPr>
      <w:r/>
      <w:bookmarkStart w:id="201" w:name="_Hlt26671244"/>
      <w:r/>
      <w:bookmarkEnd w:id="201"/>
      <w:r/>
      <w:bookmarkStart w:id="202" w:name="_Hlt26955039"/>
      <w:r/>
      <w:bookmarkEnd w:id="202"/>
      <w:r/>
      <w:bookmarkStart w:id="203" w:name="_Toc49090576"/>
      <w:r/>
      <w:bookmarkStart w:id="204" w:name="_Toc120614282"/>
      <w:r/>
      <w:bookmarkStart w:id="205" w:name="_Toc26554094"/>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t xml:space="preserve">投  标  文  件</w:t>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ind w:firstLine="1084"/>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rPr>
          <w:rFonts w:hint="eastAsia" w:asciiTheme="minorEastAsia" w:hAnsiTheme="minorEastAsia" w:eastAsiaTheme="minorEastAsia" w:cstheme="minorEastAsia"/>
          <w:b/>
          <w:sz w:val="36"/>
          <w:u w:val="single"/>
        </w:rPr>
        <w:t xml:space="preserve">               </w:t>
      </w:r>
      <w:r/>
    </w:p>
    <w:p>
      <w:pPr>
        <w:ind w:firstLine="1084"/>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rPr>
          <w:rFonts w:hint="eastAsia" w:asciiTheme="minorEastAsia" w:hAnsiTheme="minorEastAsia" w:eastAsiaTheme="minorEastAsia" w:cstheme="minorEastAsia"/>
          <w:b/>
          <w:sz w:val="36"/>
          <w:u w:val="single"/>
        </w:rPr>
        <w:t xml:space="preserve">               </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投标人名称 ：</w:t>
      </w:r>
      <w:r>
        <w:rPr>
          <w:rFonts w:hint="eastAsia" w:asciiTheme="minorEastAsia" w:hAnsiTheme="minorEastAsia" w:eastAsiaTheme="minorEastAsia" w:cstheme="minorEastAsia"/>
          <w:b/>
          <w:sz w:val="36"/>
          <w:u w:val="single"/>
        </w:rPr>
        <w:t xml:space="preserve">（加盖CA电子公章）</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rPr>
          <w:rFonts w:hint="eastAsia" w:asciiTheme="minorEastAsia" w:hAnsiTheme="minorEastAsia" w:eastAsiaTheme="minorEastAsia" w:cstheme="minorEastAsia"/>
          <w:b/>
          <w:sz w:val="36"/>
          <w:u w:val="single"/>
        </w:rPr>
        <w:t xml:space="preserve">               </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1084"/>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6"/>
          <w:u w:val="single"/>
        </w:rPr>
        <w:br w:type="page" w:clear="all"/>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投标文件主要格式目录</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一、投标人资格声明函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二、特定资格要求的证明文件（如果本项目设置特定资格要求，则需要提供）</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三、法定代表人资格证明书（实质性格式）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四、法人授权书</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五、投标函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六、政府采购供应商信用承诺书（实质性格式）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七、小微企业声明函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八、残疾人福利性单位声明函或监狱企业证明</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九、关于符合本国产品标准的声明函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十、投标分项报价表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十一、技术要求响应及偏离表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十二、合同及商务条款偏离表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十三、开标一览表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十四、投标人关于检测报告合规性的承诺函（实质性格式）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十五、投标文件通用模版编制和评审要求</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bookmarkEnd w:id="203"/>
      <w:bookmarkEnd w:id="204"/>
      <w:bookmarkEnd w:id="205"/>
      <w:r/>
    </w:p>
    <w:p>
      <w:pPr>
        <w:rPr>
          <w:rFonts w:hint="eastAsia" w:asciiTheme="minorEastAsia" w:hAnsiTheme="minorEastAsia" w:eastAsiaTheme="minorEastAsia" w:cstheme="minorEastAsia"/>
          <w:i/>
          <w:sz w:val="32"/>
          <w:szCs w:val="32"/>
          <w:u w:val="single"/>
        </w:rPr>
      </w:pPr>
      <w:r/>
      <w:bookmarkStart w:id="206" w:name="_Toc120614284"/>
      <w:r>
        <w:rPr>
          <w:rFonts w:hint="eastAsia" w:asciiTheme="minorEastAsia" w:hAnsiTheme="minorEastAsia" w:eastAsiaTheme="minorEastAsia" w:cstheme="minorEastAsia"/>
          <w:i/>
          <w:sz w:val="32"/>
          <w:szCs w:val="32"/>
          <w:u w:val="single"/>
        </w:rPr>
        <w:t xml:space="preserve">一、投标人资格声明函</w:t>
      </w:r>
      <w:r/>
    </w:p>
    <w:p>
      <w:pPr>
        <w:jc w:val="center"/>
        <w:spacing w:before="156" w:line="360" w:lineRule="auto"/>
        <w:widowControl/>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jc w:val="center"/>
        <w:spacing w:before="156"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8"/>
          <w:szCs w:val="28"/>
        </w:rPr>
        <w:t xml:space="preserve">投标人资格声明函</w:t>
      </w:r>
      <w:r>
        <w:rPr>
          <w:rFonts w:hint="eastAsia" w:asciiTheme="minorEastAsia" w:hAnsiTheme="minorEastAsia" w:eastAsiaTheme="minorEastAsia" w:cstheme="minorEastAsia"/>
        </w:rPr>
        <w:t xml:space="preserve">（实质性格式）</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致：常州市教育基本建设与装备管理中心</w:t>
      </w:r>
      <w:r/>
    </w:p>
    <w:p>
      <w:pPr>
        <w:pStyle w:val="930"/>
        <w:ind w:firstLine="840"/>
        <w:spacing w:line="460" w:lineRule="exact"/>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（采购人名称）</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按照《中华人民共和国政府采购法》第二十二条和招标文件的规定，我单位郑重声明如下：</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一、我单位是按照中华人民共和国法律规定登记注册的，注册地点为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，全称为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，统一社会信用代码为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，法定代表人（单位负责人）为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，具有独立承担民事责任的能力</w:t>
      </w:r>
      <w:r>
        <w:rPr>
          <w:rFonts w:hint="eastAsia" w:asciiTheme="minorEastAsia" w:hAnsiTheme="minorEastAsia" w:eastAsiaTheme="minorEastAsia" w:cstheme="minorEastAsia"/>
          <w:b/>
          <w:i/>
          <w:u w:val="single"/>
        </w:rPr>
        <w:t xml:space="preserve">（如属于分公司经总公司授权参与项目，由总公司承担民事责任的，需提供总公司项目授权书）</w:t>
      </w:r>
      <w:r>
        <w:rPr>
          <w:rFonts w:hint="eastAsia" w:asciiTheme="minorEastAsia" w:hAnsiTheme="minorEastAsia" w:eastAsiaTheme="minorEastAsia" w:cstheme="minorEastAsia"/>
        </w:rPr>
        <w:t xml:space="preserve">。</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二、我单位具有良好的商业信誉（指投标人经营状况良好，无本资格声明第九条情形）和健全的财务会计制度。</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三、我单位依法进行纳税和社会保险申报并实际履行了义务。</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四、我单位具有履行本项目采购合同所必需的设备和专业技术能力，并具有履行合同的良好记录。为履行本项采购合同我单位具备如下主要设备和主要专业技术能力:</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主要设备有：</w:t>
      </w:r>
      <w:r>
        <w:rPr>
          <w:rFonts w:hint="eastAsia" w:asciiTheme="minorEastAsia" w:hAnsiTheme="minorEastAsia" w:eastAsiaTheme="minorEastAsia" w:cstheme="minorEastAsia"/>
          <w:u w:val="single"/>
        </w:rPr>
        <w:t xml:space="preserve">            </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主要专业技术能力有</w:t>
      </w:r>
      <w:r>
        <w:rPr>
          <w:rFonts w:hint="eastAsia" w:asciiTheme="minorEastAsia" w:hAnsiTheme="minorEastAsia" w:eastAsiaTheme="minorEastAsia" w:cstheme="minorEastAsia"/>
          <w:u w:val="single"/>
        </w:rPr>
        <w:t xml:space="preserve">                 </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六、我单位具备法律、行政法规规定的其他条件。</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七、与我单位存在“单位负责人为同一人或者存在直接控股、管理关系”的其他单位信息如下（如无此情形的，填写“无”）：</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1、与我单位的法定代表人（单位负责人）为同一人的其他单位如下：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2、我单位直接控股的其他单位如下：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3、与我单位存在管理关系的其他单位如下：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八、我单位不属于为本项目提供整体设计、规范编制或者项目管理、监理、检测等服务的投标人。</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九、我单位无以下不良信用记录情形：</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1、在“信用中国”网站被列入失信被执行人和重大税收违法案件当事人名单；</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2、在“中国政府采购网”网站被列入政府采购严重违法失信行为记录名单；</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3、不符合《政府采购法》第二十二条规定的条件。</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我单位保证上述声明的事项都是真实的，如有虚假，我单位愿意承担相应的法律责任，并承担因此所造成的一切损失。</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投标人：（加盖公章）</w:t>
      </w:r>
      <w:r/>
    </w:p>
    <w:p>
      <w:pPr>
        <w:pStyle w:val="930"/>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法定代表人（或单位负责人）签字或盖章：</w:t>
      </w:r>
      <w:r/>
    </w:p>
    <w:p>
      <w:pPr>
        <w:pStyle w:val="930"/>
        <w:ind w:firstLine="4305"/>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说明：投标人承诺不实的，依据《政府采购法》第七十七条“提供虚假材料谋取中标、成交的”有关规定予以处理。</w:t>
      </w:r>
      <w:r/>
    </w:p>
    <w:p>
      <w:pPr>
        <w:spacing w:line="360" w:lineRule="auto"/>
        <w:tabs>
          <w:tab w:val="left" w:pos="5580" w:leader="none"/>
        </w:tabs>
        <w:rPr>
          <w:rFonts w:hint="eastAsia" w:asciiTheme="minorEastAsia" w:hAnsiTheme="minorEastAsia" w:eastAsiaTheme="minorEastAsia" w:cstheme="minorEastAsia"/>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二、特定资格要求的证明文件</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    如果本项目申请人的特定资格要求中要求提供的，必须提供。</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三、法定代表人资格证明书（实质性格式）</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法定代表人资格证明书</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姓名:     性别:       年龄:      职务:</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系</w:t>
      </w:r>
      <w:r>
        <w:rPr>
          <w:rFonts w:hint="eastAsia" w:asciiTheme="minorEastAsia" w:hAnsiTheme="minorEastAsia" w:eastAsiaTheme="minorEastAsia" w:cstheme="minorEastAsia"/>
          <w:sz w:val="24"/>
          <w:u w:val="single"/>
        </w:rPr>
        <w:t xml:space="preserve">（投标人名称）</w:t>
      </w:r>
      <w:r>
        <w:rPr>
          <w:rFonts w:hint="eastAsia" w:asciiTheme="minorEastAsia" w:hAnsiTheme="minorEastAsia" w:eastAsiaTheme="minorEastAsia" w:cstheme="minorEastAsia"/>
          <w:sz w:val="24"/>
        </w:rPr>
        <w:t xml:space="preserve">的法定代表人。为参与</w:t>
      </w:r>
      <w:r>
        <w:rPr>
          <w:rFonts w:hint="eastAsia" w:asciiTheme="minorEastAsia" w:hAnsiTheme="minorEastAsia" w:eastAsiaTheme="minorEastAsia" w:cstheme="minorEastAsia"/>
          <w:sz w:val="24"/>
          <w:u w:val="single"/>
        </w:rPr>
        <w:t xml:space="preserve">（项目名称）</w:t>
      </w:r>
      <w:r>
        <w:rPr>
          <w:rFonts w:hint="eastAsia" w:asciiTheme="minorEastAsia" w:hAnsiTheme="minorEastAsia" w:eastAsiaTheme="minorEastAsia" w:cstheme="minorEastAsia"/>
          <w:sz w:val="24"/>
        </w:rPr>
        <w:t xml:space="preserve">的政府采购活动，</w:t>
      </w:r>
      <w:r>
        <w:rPr>
          <w:rFonts w:hint="eastAsia" w:asciiTheme="minorEastAsia" w:hAnsiTheme="minorEastAsia" w:eastAsiaTheme="minorEastAsia" w:cstheme="minorEastAsia"/>
          <w:sz w:val="24"/>
          <w:szCs w:val="20"/>
        </w:rPr>
        <w:t xml:space="preserve">签署、澄清确认、递交、撤回、修改</w:t>
      </w:r>
      <w:r>
        <w:rPr>
          <w:rFonts w:hint="eastAsia" w:asciiTheme="minorEastAsia" w:hAnsiTheme="minorEastAsia" w:eastAsiaTheme="minorEastAsia" w:cstheme="minorEastAsia"/>
          <w:sz w:val="24"/>
        </w:rPr>
        <w:t xml:space="preserve">上述项目的投标文件、进行合同磋商、签署合同和处理与之有关的一切事务。</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特此证明。</w:t>
      </w:r>
      <w:r/>
    </w:p>
    <w:p>
      <w:pPr>
        <w:pStyle w:val="739"/>
        <w:ind w:right="-46"/>
        <w:spacing w:line="583" w:lineRule="auto"/>
        <w:rPr>
          <w:rFonts w:hint="eastAsia" w:asciiTheme="minorEastAsia" w:hAnsiTheme="minorEastAsia" w:eastAsiaTheme="minorEastAsia" w:cstheme="minorEastAsia"/>
          <w:spacing w:val="-3"/>
        </w:rPr>
      </w:pPr>
      <w:r>
        <w:rPr>
          <w:rFonts w:hint="eastAsia" w:asciiTheme="minorEastAsia" w:hAnsiTheme="minorEastAsia" w:eastAsiaTheme="minorEastAsia" w:cstheme="minorEastAsia"/>
        </w:rPr>
        <w:t xml:space="preserve">附：</w:t>
      </w:r>
      <w:r>
        <w:rPr>
          <w:rFonts w:hint="eastAsia" w:asciiTheme="minorEastAsia" w:hAnsiTheme="minorEastAsia" w:eastAsiaTheme="minorEastAsia" w:cstheme="minorEastAsia"/>
          <w:spacing w:val="-3"/>
        </w:rPr>
        <w:t xml:space="preserve">法</w:t>
      </w:r>
      <w:r>
        <w:rPr>
          <w:rFonts w:hint="eastAsia" w:asciiTheme="minorEastAsia" w:hAnsiTheme="minorEastAsia" w:eastAsiaTheme="minorEastAsia" w:cstheme="minorEastAsia"/>
        </w:rPr>
        <w:t xml:space="preserve">定</w:t>
      </w:r>
      <w:r>
        <w:rPr>
          <w:rFonts w:hint="eastAsia" w:asciiTheme="minorEastAsia" w:hAnsiTheme="minorEastAsia" w:eastAsiaTheme="minorEastAsia" w:cstheme="minorEastAsia"/>
          <w:spacing w:val="-3"/>
        </w:rPr>
        <w:t xml:space="preserve">代</w:t>
      </w:r>
      <w:r>
        <w:rPr>
          <w:rFonts w:hint="eastAsia" w:asciiTheme="minorEastAsia" w:hAnsiTheme="minorEastAsia" w:eastAsiaTheme="minorEastAsia" w:cstheme="minorEastAsia"/>
        </w:rPr>
        <w:t xml:space="preserve">表</w:t>
      </w:r>
      <w:r>
        <w:rPr>
          <w:rFonts w:hint="eastAsia" w:asciiTheme="minorEastAsia" w:hAnsiTheme="minorEastAsia" w:eastAsiaTheme="minorEastAsia" w:cstheme="minorEastAsia"/>
          <w:spacing w:val="-3"/>
        </w:rPr>
        <w:t xml:space="preserve">人</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spacing w:val="-3"/>
        </w:rPr>
        <w:t xml:space="preserve">单</w:t>
      </w:r>
      <w:r>
        <w:rPr>
          <w:rFonts w:hint="eastAsia" w:asciiTheme="minorEastAsia" w:hAnsiTheme="minorEastAsia" w:eastAsiaTheme="minorEastAsia" w:cstheme="minorEastAsia"/>
        </w:rPr>
        <w:t xml:space="preserve">位</w:t>
      </w:r>
      <w:r>
        <w:rPr>
          <w:rFonts w:hint="eastAsia" w:asciiTheme="minorEastAsia" w:hAnsiTheme="minorEastAsia" w:eastAsiaTheme="minorEastAsia" w:cstheme="minorEastAsia"/>
          <w:spacing w:val="-3"/>
        </w:rPr>
        <w:t xml:space="preserve">负</w:t>
      </w:r>
      <w:r>
        <w:rPr>
          <w:rFonts w:hint="eastAsia" w:asciiTheme="minorEastAsia" w:hAnsiTheme="minorEastAsia" w:eastAsiaTheme="minorEastAsia" w:cstheme="minorEastAsia"/>
        </w:rPr>
        <w:t xml:space="preserve">责人</w:t>
      </w:r>
      <w:r>
        <w:rPr>
          <w:rFonts w:hint="eastAsia" w:asciiTheme="minorEastAsia" w:hAnsiTheme="minorEastAsia" w:eastAsiaTheme="minorEastAsia" w:cstheme="minorEastAsia"/>
          <w:spacing w:val="-3"/>
        </w:rPr>
        <w:t xml:space="preserve">）有效期内的身份证正反面电子件。</w:t>
      </w:r>
      <w:r/>
    </w:p>
    <w:tbl>
      <w:tblPr>
        <w:tblStyle w:val="7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895"/>
        </w:trPr>
        <w:tc>
          <w:tcPr>
            <w:tcW w:w="4673" w:type="dxa"/>
            <w:textDirection w:val="lrTb"/>
            <w:noWrap w:val="false"/>
          </w:tcPr>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W w:w="4536" w:type="dxa"/>
            <w:textDirection w:val="lrTb"/>
            <w:noWrap w:val="false"/>
          </w:tcPr>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bl>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投标人：（加盖公章）</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w:t>
      </w:r>
      <w:r>
        <w:rPr>
          <w:rFonts w:hint="eastAsia" w:asciiTheme="minorEastAsia" w:hAnsiTheme="minorEastAsia" w:eastAsiaTheme="minorEastAsia" w:cstheme="minorEastAsia"/>
          <w:sz w:val="24"/>
          <w:szCs w:val="20"/>
        </w:rPr>
        <w:t xml:space="preserve">签字、签章或印鉴</w:t>
      </w:r>
      <w:r>
        <w:rPr>
          <w:rFonts w:hint="eastAsia" w:asciiTheme="minorEastAsia" w:hAnsiTheme="minorEastAsia" w:eastAsiaTheme="minorEastAsia" w:cstheme="minorEastAsia"/>
          <w:sz w:val="24"/>
        </w:rPr>
        <w:t xml:space="preserve">：</w:t>
      </w:r>
      <w:r/>
    </w:p>
    <w:p>
      <w:pPr>
        <w:ind w:firstLine="432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jc w:val="lef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说明：</w:t>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1.若投标人为事业单位或其他组织或分支机构（仅当招标文件注明允许分支机构响应的），则法定代表人（单位负责人）处的签署人可为单位负责人。</w:t>
      </w:r>
      <w:r/>
    </w:p>
    <w:p>
      <w:pPr>
        <w:jc w:val="left"/>
        <w:spacing w:line="360" w:lineRule="auto"/>
        <w:tabs>
          <w:tab w:val="left" w:pos="5580" w:leader="none"/>
        </w:tabs>
        <w:rPr>
          <w:rFonts w:hint="eastAsia" w:asciiTheme="minorEastAsia" w:hAnsiTheme="minorEastAsia" w:eastAsiaTheme="minorEastAsia" w:cstheme="minorEastAsia"/>
          <w:i/>
          <w:sz w:val="24"/>
          <w:szCs w:val="20"/>
          <w:u w:val="single"/>
        </w:rPr>
      </w:pPr>
      <w:r>
        <w:rPr>
          <w:rFonts w:hint="eastAsia" w:asciiTheme="minorEastAsia" w:hAnsiTheme="minorEastAsia" w:eastAsiaTheme="minorEastAsia" w:cstheme="minorEastAsia"/>
          <w:sz w:val="24"/>
          <w:szCs w:val="20"/>
        </w:rPr>
        <w:t xml:space="preserve">2.投标人为自然人的情形，可不提供本《授权委托书》。</w:t>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四、法人授权书</w:t>
      </w:r>
      <w:r/>
    </w:p>
    <w:p>
      <w:pPr>
        <w:pStyle w:val="1010"/>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0"/>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0"/>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本授权书声明：____________（投标人名称）授权________________（被授权人的姓名）为我方就JSZC-</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号项目采购活动的合法代理人，以本单位名义全权处理一切与该项目采购有关的事务。</w:t>
      </w:r>
      <w:r/>
    </w:p>
    <w:p>
      <w:pPr>
        <w:pStyle w:val="1010"/>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pStyle w:val="1010"/>
        <w:ind w:firstLine="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rPr>
          <w:rFonts w:hint="eastAsia" w:asciiTheme="minorEastAsia" w:hAnsiTheme="minorEastAsia" w:eastAsiaTheme="minorEastAsia" w:cstheme="minorEastAsia"/>
          <w:sz w:val="24"/>
          <w:szCs w:val="24"/>
          <w:u w:val="single"/>
        </w:rPr>
        <w:t xml:space="preserve">                              </w:t>
      </w:r>
      <w:r/>
    </w:p>
    <w:p>
      <w:pPr>
        <w:pStyle w:val="1010"/>
        <w:ind w:firstLine="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rPr>
          <w:rFonts w:hint="eastAsia" w:asciiTheme="minorEastAsia" w:hAnsiTheme="minorEastAsia" w:eastAsiaTheme="minorEastAsia" w:cstheme="minorEastAsia"/>
          <w:sz w:val="24"/>
          <w:szCs w:val="24"/>
          <w:u w:val="single"/>
        </w:rPr>
        <w:t xml:space="preserve">                          </w:t>
      </w:r>
      <w:r/>
    </w:p>
    <w:p>
      <w:pPr>
        <w:pStyle w:val="1010"/>
        <w:ind w:firstLine="120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pStyle w:val="1010"/>
        <w:ind w:firstLine="48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rPr>
          <w:rFonts w:hint="eastAsia" w:asciiTheme="minorEastAsia" w:hAnsiTheme="minorEastAsia" w:eastAsiaTheme="minorEastAsia" w:cstheme="minorEastAsia"/>
          <w:sz w:val="24"/>
          <w:szCs w:val="24"/>
          <w:u w:val="single"/>
        </w:rPr>
        <w:t xml:space="preserve">                                         </w:t>
      </w:r>
      <w:r/>
    </w:p>
    <w:p>
      <w:pPr>
        <w:pStyle w:val="1010"/>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w:t>
      </w:r>
      <w:bookmarkStart w:id="207" w:name="_Hlt26955070"/>
      <w:r/>
      <w:bookmarkEnd w:id="207"/>
      <w:r/>
      <w:bookmarkStart w:id="208" w:name="_格式3__银行出具的资信证明"/>
      <w:r/>
      <w:bookmarkEnd w:id="208"/>
      <w:r/>
      <w:bookmarkStart w:id="209" w:name="_Hlt26671380"/>
      <w:r/>
      <w:bookmarkEnd w:id="209"/>
      <w:r>
        <w:rPr>
          <w:rFonts w:hint="eastAsia" w:asciiTheme="minorEastAsia" w:hAnsiTheme="minorEastAsia" w:eastAsiaTheme="minorEastAsia" w:cstheme="minorEastAsia"/>
          <w:sz w:val="24"/>
          <w:szCs w:val="24"/>
          <w:u w:val="single"/>
        </w:rPr>
        <w:t xml:space="preserve">                                         </w:t>
      </w:r>
      <w:r/>
    </w:p>
    <w:p>
      <w:pPr>
        <w:pStyle w:val="930"/>
        <w:spacing w:line="360" w:lineRule="auto"/>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r>
      <w:r/>
    </w:p>
    <w:p>
      <w:pPr>
        <w:pStyle w:val="930"/>
        <w:ind w:firstLine="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bCs/>
          <w:i/>
          <w:u w:val="single"/>
        </w:rPr>
      </w:pPr>
      <w:r>
        <w:rPr>
          <w:rFonts w:hint="eastAsia" w:asciiTheme="minorEastAsia" w:hAnsiTheme="minorEastAsia" w:eastAsiaTheme="minorEastAsia" w:cstheme="minorEastAsia"/>
          <w:bCs/>
          <w:sz w:val="24"/>
        </w:rPr>
        <w:br w:type="page" w:clear="all"/>
      </w:r>
      <w:r>
        <w:rPr>
          <w:rFonts w:hint="eastAsia" w:asciiTheme="minorEastAsia" w:hAnsiTheme="minorEastAsia" w:eastAsiaTheme="minorEastAsia" w:cstheme="minorEastAsia"/>
          <w:i/>
          <w:sz w:val="32"/>
          <w:szCs w:val="32"/>
          <w:u w:val="single"/>
        </w:rPr>
        <w:t xml:space="preserve">五、投标函</w:t>
      </w:r>
      <w:r/>
    </w:p>
    <w:p>
      <w:pPr>
        <w:pStyle w:val="1012"/>
        <w:ind w:firstLine="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致：常州市教育基本建设与装备管理中心</w:t>
      </w:r>
      <w:r/>
    </w:p>
    <w:p>
      <w:pPr>
        <w:pStyle w:val="1012"/>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根据贵方的JSZC-*_____________号招标文件，正式授权下述签字人______(姓名)代表我方______________（投标人的名称），全权处理本次项目投标的有关事宜。</w:t>
      </w:r>
      <w:r/>
    </w:p>
    <w:p>
      <w:pPr>
        <w:pStyle w:val="1012"/>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据此函，__________签字人兹宣布同意如下：</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1.按招标文件规定的各项要求，向买方提供所需货物（包含与货物相关的服务）。</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2.我们完全理解贵方不一定将合同授予最低报价的投标人。</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4.我们同意从规定的开标日期起遵循本投标文件，并在规定的投标有效期期满之前均具有约束力。</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6.一旦我方中标,我方将根据招标文件的规定，严格履行合同的责任和义务,并保证在招标文件规定的时间完成项目，交付买方验收、使用。</w:t>
      </w:r>
      <w:r/>
    </w:p>
    <w:p>
      <w:pPr>
        <w:pStyle w:val="1012"/>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7.除采购文件第四章采购需求中关于实质性要求需要提供证明材料的之外、与国家相关部门对供应商的响应产品有强制性规定或者有要求的，我方承诺完全满足。</w:t>
      </w:r>
      <w:r/>
    </w:p>
    <w:p>
      <w:pPr>
        <w:pStyle w:val="1012"/>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7.与本投标有关的正式通讯地址为：</w:t>
      </w:r>
      <w:r/>
    </w:p>
    <w:p>
      <w:pPr>
        <w:pStyle w:val="1012"/>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p>
    <w:p>
      <w:pPr>
        <w:pStyle w:val="1012"/>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邮          编：</w:t>
      </w:r>
      <w:r/>
    </w:p>
    <w:p>
      <w:pPr>
        <w:pStyle w:val="1012"/>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p>
    <w:p>
      <w:pPr>
        <w:pStyle w:val="1012"/>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p>
    <w:p>
      <w:pPr>
        <w:pStyle w:val="1012"/>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投标人开户行：</w:t>
      </w:r>
      <w:r/>
    </w:p>
    <w:p>
      <w:pPr>
        <w:pStyle w:val="1012"/>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 </w:t>
      </w:r>
      <w:r/>
    </w:p>
    <w:p>
      <w:pPr>
        <w:pStyle w:val="1012"/>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           期：________年____月____日</w:t>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六、政府采购供应商信用承诺书（实质性格式）</w:t>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政府采购供应商信用承诺书</w:t>
      </w:r>
      <w:r/>
    </w:p>
    <w:p>
      <w:pPr>
        <w:ind w:firstLine="64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五、承诺本单位自觉接受行政管理部门、行业组织、社会公众、新闻舆论的监督。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七、承诺本单位在信用中国（江苏）网站中无违法违规、较重或严重失信记录。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八、承诺本单位提出政府采购质疑和投诉坚持依法依规、诚实信用原则。</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九、根据政府采购相关法律法规的规定需要作出的其他承诺。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十一、承诺本单位同意将以上承诺事项上网公示，违背承诺约定行为将作为失信信息，记录到常州市公共信用信息系统，并予以公开。</w:t>
      </w:r>
      <w:r/>
    </w:p>
    <w:p>
      <w:pPr>
        <w:pStyle w:val="1045"/>
        <w:ind w:right="1050" w:firstLine="2880"/>
        <w:jc w:val="both"/>
        <w:spacing w:line="276" w:lineRule="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r>
      <w:r/>
    </w:p>
    <w:p>
      <w:pPr>
        <w:spacing w:before="25" w:after="25"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投标人名称（加盖公章）</w:t>
      </w:r>
      <w:r>
        <w:rPr>
          <w:rFonts w:hint="eastAsia" w:asciiTheme="minorEastAsia" w:hAnsiTheme="minorEastAsia" w:eastAsiaTheme="minorEastAsia" w:cstheme="minorEastAsia"/>
          <w:sz w:val="24"/>
          <w:lang w:val="zh-CN"/>
        </w:rPr>
        <w:t xml:space="preserve">：____________</w:t>
      </w:r>
      <w:r/>
    </w:p>
    <w:p>
      <w:pPr>
        <w:spacing w:before="25" w:after="25"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日期：_____年______月______日   </w:t>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七、小微企业声明函（货物）（分包号：）</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本公司（联合体）郑重声明，根据《政府采购促进中小企业发展管理办法》(财库[2020]46号)的规定，本公司（联合体）参加常州市教育基本建设与装备管理中心组织的</w:t>
      </w:r>
      <w:r>
        <w:rPr>
          <w:rFonts w:hint="eastAsia" w:asciiTheme="minorEastAsia" w:hAnsiTheme="minorEastAsia" w:eastAsiaTheme="minorEastAsia" w:cstheme="minorEastAsia"/>
          <w:sz w:val="24"/>
          <w:szCs w:val="24"/>
          <w:u w:val="single"/>
        </w:rPr>
        <w:t xml:space="preserve">（采购单位名称）</w:t>
      </w:r>
      <w:r>
        <w:rPr>
          <w:rFonts w:hint="eastAsia" w:asciiTheme="minorEastAsia" w:hAnsiTheme="minorEastAsia" w:eastAsiaTheme="minorEastAsia" w:cstheme="minorEastAsia"/>
          <w:sz w:val="24"/>
          <w:szCs w:val="24"/>
        </w:rPr>
        <w:t xml:space="preserve">采购编号为</w:t>
      </w:r>
      <w:r>
        <w:rPr>
          <w:rFonts w:hint="eastAsia" w:asciiTheme="minorEastAsia" w:hAnsiTheme="minorEastAsia" w:eastAsiaTheme="minorEastAsia" w:cstheme="minorEastAsia"/>
          <w:sz w:val="24"/>
          <w:szCs w:val="24"/>
          <w:u w:val="single"/>
        </w:rPr>
        <w:t xml:space="preserve">*</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（项目名称）（分包号：）</w:t>
      </w:r>
      <w:r>
        <w:rPr>
          <w:rFonts w:hint="eastAsia" w:asciiTheme="minorEastAsia" w:hAnsiTheme="minorEastAsia" w:eastAsiaTheme="minorEastAsia" w:cstheme="minorEastAsia"/>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ind w:firstLine="360"/>
        <w:spacing w:line="56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jc w:val="left"/>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right="7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180" w:firstLine="360"/>
        <w:jc w:val="righ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ind w:right="480" w:firstLine="54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firstLine="24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备注1：从业人员、营业收入、资产总额填报上一年度数据，无上一年度数据的新成立企业可不填报。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备注2：供应商如不提供此声明函，价格将不做相应扣除。</w:t>
      </w:r>
      <w:r>
        <w:rPr>
          <w:rFonts w:hint="eastAsia" w:asciiTheme="minorEastAsia" w:hAnsiTheme="minorEastAsia" w:eastAsiaTheme="minorEastAsia" w:cstheme="minorEastAsia"/>
          <w:sz w:val="24"/>
        </w:rPr>
        <w:t xml:space="preserve">中标人为小微企业的，此声明函将随中标结果同时公告，接受社会监督。</w:t>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sz w:val="32"/>
          <w:szCs w:val="32"/>
        </w:rPr>
        <w:t xml:space="preserve">八、残疾人福利性单位声明函（分包号：）</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hint="eastAsia" w:asciiTheme="minorEastAsia" w:hAnsiTheme="minorEastAsia" w:eastAsiaTheme="minorEastAsia" w:cstheme="minorEastAsia"/>
          <w:spacing w:val="6"/>
          <w:sz w:val="30"/>
          <w:szCs w:val="30"/>
        </w:rPr>
      </w:pPr>
      <w:r>
        <w:rPr>
          <w:rFonts w:hint="eastAsia" w:asciiTheme="minorEastAsia" w:hAnsiTheme="minorEastAsia" w:eastAsiaTheme="minorEastAsia" w:cstheme="minorEastAsia"/>
          <w:spacing w:val="6"/>
          <w:sz w:val="30"/>
          <w:szCs w:val="30"/>
        </w:rPr>
      </w:r>
      <w:r/>
    </w:p>
    <w:p>
      <w:pPr>
        <w:ind w:right="1560" w:firstLine="624"/>
        <w:jc w:val="center"/>
        <w:spacing w:line="588" w:lineRule="exact"/>
        <w:tabs>
          <w:tab w:val="left" w:pos="48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30"/>
          <w:szCs w:val="30"/>
        </w:rPr>
        <w:t xml:space="preserve">             </w:t>
      </w:r>
      <w:r>
        <w:rPr>
          <w:rFonts w:hint="eastAsia" w:asciiTheme="minorEastAsia" w:hAnsiTheme="minorEastAsia" w:eastAsiaTheme="minorEastAsia" w:cstheme="minorEastAsia"/>
          <w:sz w:val="24"/>
        </w:rPr>
        <w:t xml:space="preserve">         供应商全称（加盖CA电子公章）：</w:t>
      </w:r>
      <w:r/>
    </w:p>
    <w:p>
      <w:pPr>
        <w:ind w:right="1560" w:firstLine="480"/>
        <w:jc w:val="center"/>
        <w:spacing w:line="588" w:lineRule="exact"/>
        <w:tabs>
          <w:tab w:val="left" w:pos="48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  期：</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643"/>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32"/>
          <w:szCs w:val="32"/>
        </w:rPr>
        <w:t xml:space="preserve">监狱企业证明文件。</w:t>
      </w:r>
      <w:r>
        <w:rPr>
          <w:rFonts w:hint="eastAsia" w:asciiTheme="minorEastAsia" w:hAnsiTheme="minorEastAsia" w:eastAsiaTheme="minorEastAsia" w:cstheme="minorEastAsia"/>
          <w:sz w:val="24"/>
        </w:rPr>
        <w:t xml:space="preserve">监狱企业须提供由省级以上监狱管理局、戒毒管理局（含新疆生产建设兵团）出具的属于监狱企业的证明文件。（备注：如是监狱企业的应提供，否则</w:t>
      </w:r>
      <w:r>
        <w:rPr>
          <w:rFonts w:hint="eastAsia" w:asciiTheme="minorEastAsia" w:hAnsiTheme="minorEastAsia" w:eastAsiaTheme="minorEastAsia" w:cstheme="minorEastAsia"/>
          <w:sz w:val="24"/>
          <w:szCs w:val="24"/>
        </w:rPr>
        <w:t xml:space="preserve">资格审查不予通过，作为无效投标。</w:t>
      </w:r>
      <w:r>
        <w:rPr>
          <w:rFonts w:hint="eastAsia" w:asciiTheme="minorEastAsia" w:hAnsiTheme="minorEastAsia" w:eastAsiaTheme="minorEastAsia" w:cstheme="minorEastAsia"/>
          <w:sz w:val="24"/>
        </w:rPr>
        <w:t xml:space="preserve">）</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73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19"/>
        </w:numPr>
        <w:jc w:val="center"/>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关于符合本国产品标准的声明函（采购包号：**）</w:t>
      </w:r>
      <w:r/>
    </w:p>
    <w:p>
      <w:pPr>
        <w:pStyle w:val="756"/>
        <w:ind w:firstLine="420"/>
        <w:spacing w:beforeAutospacing="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56"/>
        <w:ind w:firstLine="420"/>
        <w:spacing w:beforeAutospacing="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2451100</wp:posOffset>
                </wp:positionH>
                <wp:positionV relativeFrom="paragraph">
                  <wp:posOffset>606425</wp:posOffset>
                </wp:positionV>
                <wp:extent cx="816610" cy="147320"/>
                <wp:effectExtent l="635" t="4445" r="1905" b="19685"/>
                <wp:wrapNone/>
                <wp:docPr id="1"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193.0pt;mso-position-horizontal:absolute;mso-position-vertical-relative:text;margin-top:4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1294130</wp:posOffset>
                </wp:positionH>
                <wp:positionV relativeFrom="paragraph">
                  <wp:posOffset>617855</wp:posOffset>
                </wp:positionV>
                <wp:extent cx="876300" cy="120015"/>
                <wp:effectExtent l="635" t="4445" r="18415" b="8890"/>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01.9pt;mso-position-horizontal:absolute;mso-position-vertical-relative:text;margin-top:48.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3645535</wp:posOffset>
                </wp:positionH>
                <wp:positionV relativeFrom="paragraph">
                  <wp:posOffset>335915</wp:posOffset>
                </wp:positionV>
                <wp:extent cx="816610" cy="103505"/>
                <wp:effectExtent l="635" t="4445" r="1905" b="6350"/>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287.1pt;mso-position-horizontal:absolute;mso-position-vertical-relative:text;margin-top:26.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2454910</wp:posOffset>
                </wp:positionH>
                <wp:positionV relativeFrom="paragraph">
                  <wp:posOffset>368300</wp:posOffset>
                </wp:positionV>
                <wp:extent cx="816610" cy="76200"/>
                <wp:effectExtent l="635" t="4445" r="1905" b="14604"/>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193.3pt;mso-position-horizontal:absolute;mso-position-vertical-relative:text;margin-top:29.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4778375</wp:posOffset>
                </wp:positionH>
                <wp:positionV relativeFrom="paragraph">
                  <wp:posOffset>86995</wp:posOffset>
                </wp:positionV>
                <wp:extent cx="577215" cy="92075"/>
                <wp:effectExtent l="635" t="4445" r="12700" b="1778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6.2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61"/>
          <w:rFonts w:hint="eastAsia" w:ascii="方正魏碑_GBK" w:hAnsi="方正魏碑_GBK" w:eastAsia="方正魏碑_GBK" w:cs="方正魏碑_GBK"/>
          <w:i w:val="0"/>
          <w:u w:val="single"/>
          <w:shd w:val="clear" w:color="auto" w:fill="ffffff"/>
        </w:rPr>
        <w:t xml:space="preserve">（产品名称1）</w:t>
      </w:r>
      <w:r>
        <w:rPr>
          <w:rStyle w:val="761"/>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61"/>
          <w:rFonts w:hint="eastAsia" w:ascii="方正魏碑_GBK" w:hAnsi="方正魏碑_GBK" w:eastAsia="方正魏碑_GBK" w:cs="方正魏碑_GBK"/>
          <w:i w:val="0"/>
          <w:u w:val="single"/>
          <w:shd w:val="clear" w:color="auto" w:fill="ffffff"/>
        </w:rPr>
        <w:t xml:space="preserve">（厂名）</w:t>
      </w:r>
      <w:r>
        <w:rPr>
          <w:rStyle w:val="761"/>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61"/>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61"/>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61"/>
          <w:rFonts w:hint="eastAsia" w:ascii="方正魏碑_GBK" w:hAnsi="方正魏碑_GBK" w:eastAsia="方正魏碑_GBK" w:cs="方正魏碑_GBK"/>
          <w:i w:val="0"/>
          <w:u w:val="single"/>
          <w:shd w:val="clear" w:color="auto" w:fill="ffffff"/>
        </w:rPr>
        <w:t xml:space="preserve">（规定</w:t>
      </w:r>
      <w:r>
        <w:rPr>
          <w:rStyle w:val="761"/>
          <w:rFonts w:ascii="方正魏碑_GBK" w:hAnsi="方正魏碑_GBK" w:eastAsia="方正魏碑_GBK" w:cs="方正魏碑_GBK"/>
          <w:i w:val="0"/>
          <w:u w:val="single"/>
          <w:shd w:val="clear" w:color="auto" w:fill="ffffff"/>
        </w:rPr>
        <w:t xml:space="preserve">比例</w:t>
      </w:r>
      <w:r>
        <w:rPr>
          <w:rStyle w:val="761"/>
          <w:rFonts w:hint="eastAsia" w:ascii="方正魏碑_GBK" w:hAnsi="方正魏碑_GBK" w:eastAsia="方正魏碑_GBK" w:cs="方正魏碑_GBK"/>
          <w:i w:val="0"/>
          <w:u w:val="single"/>
          <w:shd w:val="clear" w:color="auto" w:fill="ffffff"/>
        </w:rPr>
        <w:t xml:space="preserve">）</w:t>
      </w:r>
      <w:r>
        <w:rPr>
          <w:rStyle w:val="761"/>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61"/>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1"/>
          <w:rFonts w:hint="eastAsia" w:ascii="方正魏碑_GBK" w:hAnsi="方正魏碑_GBK" w:eastAsia="方正魏碑_GBK" w:cs="方正魏碑_GBK"/>
          <w:i w:val="0"/>
          <w:u w:val="single"/>
          <w:shd w:val="clear" w:color="auto" w:fill="ffffff"/>
        </w:rPr>
        <w:t xml:space="preserve">（关键</w:t>
      </w:r>
      <w:r>
        <w:rPr>
          <w:rStyle w:val="761"/>
          <w:rFonts w:ascii="方正魏碑_GBK" w:hAnsi="方正魏碑_GBK" w:eastAsia="方正魏碑_GBK" w:cs="方正魏碑_GBK"/>
          <w:i w:val="0"/>
          <w:u w:val="single"/>
          <w:shd w:val="clear" w:color="auto" w:fill="ffffff"/>
        </w:rPr>
        <w:t xml:space="preserve">组件</w:t>
      </w:r>
      <w:r>
        <w:rPr>
          <w:rStyle w:val="761"/>
          <w:rFonts w:hint="eastAsia" w:ascii="方正魏碑_GBK" w:hAnsi="方正魏碑_GBK" w:eastAsia="方正魏碑_GBK" w:cs="方正魏碑_GBK"/>
          <w:i w:val="0"/>
          <w:u w:val="single"/>
          <w:shd w:val="clear" w:color="auto" w:fill="ffffff"/>
        </w:rPr>
        <w:t xml:space="preserve">）</w:t>
      </w:r>
      <w:r>
        <w:rPr>
          <w:rStyle w:val="761"/>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61"/>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1"/>
          <w:rFonts w:hint="eastAsia" w:ascii="方正魏碑_GBK" w:hAnsi="方正魏碑_GBK" w:eastAsia="方正魏碑_GBK" w:cs="方正魏碑_GBK"/>
          <w:i w:val="0"/>
          <w:u w:val="single"/>
          <w:shd w:val="clear" w:color="auto" w:fill="ffffff"/>
        </w:rPr>
        <w:t xml:space="preserve">（关键工序）</w:t>
      </w:r>
      <w:r>
        <w:rPr>
          <w:rStyle w:val="761"/>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56"/>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988060</wp:posOffset>
                </wp:positionH>
                <wp:positionV relativeFrom="paragraph">
                  <wp:posOffset>626110</wp:posOffset>
                </wp:positionV>
                <wp:extent cx="908685" cy="140970"/>
                <wp:effectExtent l="635" t="4445" r="5080" b="698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77.8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2207260</wp:posOffset>
                </wp:positionH>
                <wp:positionV relativeFrom="paragraph">
                  <wp:posOffset>622935</wp:posOffset>
                </wp:positionV>
                <wp:extent cx="821690" cy="102870"/>
                <wp:effectExtent l="635" t="4445" r="15875" b="698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73.8pt;mso-position-horizontal:absolute;mso-position-vertical-relative:text;margin-top:49.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4685665</wp:posOffset>
                </wp:positionH>
                <wp:positionV relativeFrom="paragraph">
                  <wp:posOffset>271780</wp:posOffset>
                </wp:positionV>
                <wp:extent cx="462280" cy="147320"/>
                <wp:effectExtent l="1270" t="4445" r="12700" b="19685"/>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68.9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3481070</wp:posOffset>
                </wp:positionH>
                <wp:positionV relativeFrom="paragraph">
                  <wp:posOffset>293370</wp:posOffset>
                </wp:positionV>
                <wp:extent cx="849630" cy="120015"/>
                <wp:effectExtent l="635" t="4445" r="6985"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74.1pt;mso-position-horizontal:absolute;mso-position-vertical-relative:text;margin-top:23.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2379980</wp:posOffset>
                </wp:positionH>
                <wp:positionV relativeFrom="paragraph">
                  <wp:posOffset>280035</wp:posOffset>
                </wp:positionV>
                <wp:extent cx="843915" cy="125730"/>
                <wp:effectExtent l="635" t="4445" r="12700" b="2222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87.4pt;mso-position-horizontal:absolute;mso-position-vertical-relative:text;margin-top:22.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61"/>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61"/>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61"/>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61"/>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61"/>
          <w:rFonts w:hint="eastAsia" w:ascii="方正魏碑_GBK" w:hAnsi="方正魏碑_GBK" w:eastAsia="方正魏碑_GBK" w:cs="方正魏碑_GBK"/>
          <w:i w:val="0"/>
          <w:u w:val="single"/>
          <w:shd w:val="clear" w:color="auto" w:fill="ffffff"/>
        </w:rPr>
        <w:t xml:space="preserve">（规定</w:t>
      </w:r>
      <w:r>
        <w:rPr>
          <w:rStyle w:val="761"/>
          <w:rFonts w:ascii="方正魏碑_GBK" w:hAnsi="方正魏碑_GBK" w:eastAsia="方正魏碑_GBK" w:cs="方正魏碑_GBK"/>
          <w:i w:val="0"/>
          <w:u w:val="single"/>
          <w:shd w:val="clear" w:color="auto" w:fill="ffffff"/>
        </w:rPr>
        <w:t xml:space="preserve">比例</w:t>
      </w:r>
      <w:r>
        <w:rPr>
          <w:rStyle w:val="761"/>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61"/>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61"/>
          <w:rFonts w:hint="eastAsia" w:ascii="方正魏碑_GBK" w:hAnsi="方正魏碑_GBK" w:eastAsia="方正魏碑_GBK" w:cs="方正魏碑_GBK"/>
          <w:i w:val="0"/>
          <w:u w:val="single"/>
          <w:shd w:val="clear" w:color="auto" w:fill="ffffff"/>
        </w:rPr>
        <w:t xml:space="preserve">（关键</w:t>
      </w:r>
      <w:r>
        <w:rPr>
          <w:rStyle w:val="761"/>
          <w:rFonts w:ascii="方正魏碑_GBK" w:hAnsi="方正魏碑_GBK" w:eastAsia="方正魏碑_GBK" w:cs="方正魏碑_GBK"/>
          <w:i w:val="0"/>
          <w:u w:val="single"/>
          <w:shd w:val="clear" w:color="auto" w:fill="ffffff"/>
        </w:rPr>
        <w:t xml:space="preserve">组件</w:t>
      </w:r>
      <w:r>
        <w:rPr>
          <w:rStyle w:val="761"/>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61"/>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1"/>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56"/>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56"/>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56"/>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56"/>
        <w:ind w:right="480" w:firstLine="37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56"/>
        <w:jc w:val="center"/>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56"/>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56"/>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56"/>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56"/>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56"/>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56"/>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56"/>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19"/>
        </w:numPr>
        <w:jc w:val="center"/>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投标分项报价表（分包号：）</w:t>
      </w:r>
      <w:r/>
    </w:p>
    <w:p>
      <w:pPr>
        <w:pStyle w:val="736"/>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35"/>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textDirection w:val="lrTb"/>
            <w:noWrap w:val="false"/>
          </w:tcPr>
          <w:p>
            <w:pPr>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textDirection w:val="lrTb"/>
            <w:noWrap w:val="false"/>
          </w:tcPr>
          <w:p>
            <w:pPr>
              <w:pStyle w:val="756"/>
              <w:spacing w:beforeAutospacing="0" w:afterAutospacing="0" w:line="0" w:lineRule="atLeast"/>
            </w:pPr>
            <w:r>
              <w:rPr>
                <w:rFonts w:hint="eastAsia" w:ascii="方正魏碑_GBK" w:hAnsi="方正魏碑_GBK" w:eastAsia="方正魏碑_GBK" w:cs="方正魏碑_GBK"/>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Cs w:val="24"/>
                <w:u w:val="single"/>
              </w:rPr>
              <w:t xml:space="preserve">***</w:t>
            </w:r>
            <w:r>
              <w:rPr>
                <w:rFonts w:hint="eastAsia" w:ascii="方正魏碑_GBK" w:hAnsi="方正魏碑_GBK" w:eastAsia="方正魏碑_GBK" w:cs="方正魏碑_GBK"/>
                <w:szCs w:val="24"/>
              </w:rPr>
              <w:t xml:space="preserve">%。</w:t>
            </w:r>
            <w:r/>
          </w:p>
        </w:tc>
      </w:tr>
    </w:tbl>
    <w:p>
      <w:pPr>
        <w:pStyle w:val="736"/>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2.“投标分项报价表”中“投标总报价”数额应当与“开标一览表”中“投标总报价”数额一致。</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Theme="minorEastAsia" w:hAnsiTheme="minorEastAsia" w:eastAsiaTheme="minorEastAsia" w:cstheme="minorEastAsia"/>
          <w:b/>
          <w:i/>
          <w:iCs/>
          <w:sz w:val="24"/>
          <w:szCs w:val="24"/>
          <w:u w:val="single"/>
        </w:rPr>
      </w:pPr>
      <w:r>
        <w:rPr>
          <w:rFonts w:hint="eastAsia" w:asciiTheme="minorEastAsia" w:hAnsiTheme="minorEastAsia" w:eastAsiaTheme="minorEastAsia" w:cstheme="minorEastAsia"/>
          <w:b/>
          <w:i/>
          <w:iCs/>
          <w:sz w:val="24"/>
          <w:szCs w:val="24"/>
          <w:u w:val="single"/>
        </w:rPr>
        <w:t xml:space="preserve">4.投标人需认真填写本报价表，尤其注意规格型号的准确填写。</w:t>
      </w:r>
      <w:r/>
    </w:p>
    <w:p>
      <w:pPr>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numPr>
          <w:ilvl w:val="0"/>
          <w:numId w:val="19"/>
        </w:num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技术要求响应及偏离表（分包号：）</w:t>
      </w:r>
      <w:r/>
    </w:p>
    <w:p>
      <w:pPr>
        <w:pStyle w:val="736"/>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714"/>
        <w:gridCol w:w="1527"/>
        <w:gridCol w:w="1092"/>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对本项目技术要求条款的偏离情况（请进行勾选）：</w:t>
            </w:r>
            <w:r/>
          </w:p>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71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52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9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技术要求响应及偏离表附件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numPr>
          <w:ilvl w:val="0"/>
          <w:numId w:val="20"/>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20"/>
        </w:numPr>
        <w:spacing w:line="400" w:lineRule="exact"/>
        <w:rPr>
          <w:rFonts w:hint="eastAsia"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numPr>
          <w:ilvl w:val="0"/>
          <w:numId w:val="20"/>
        </w:numPr>
        <w:spacing w:line="400" w:lineRule="exact"/>
        <w:rPr>
          <w:rFonts w:hint="eastAsia" w:asciiTheme="minorEastAsia" w:hAnsiTheme="minorEastAsia" w:eastAsiaTheme="minorEastAsia" w:cstheme="minorEastAsia"/>
          <w:sz w:val="24"/>
          <w:szCs w:val="24"/>
        </w:rPr>
      </w:pP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numPr>
          <w:ilvl w:val="0"/>
          <w:numId w:val="20"/>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为便于评审，投标人在偏离表中逐条列出相关技术参数证明材料所在页码。</w:t>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bookmarkEnd w:id="206"/>
      <w:r/>
    </w:p>
    <w:p>
      <w:pPr>
        <w:numPr>
          <w:ilvl w:val="0"/>
          <w:numId w:val="19"/>
        </w:numPr>
        <w:jc w:val="center"/>
        <w:rPr>
          <w:rFonts w:hint="eastAsia" w:asciiTheme="minorEastAsia" w:hAnsiTheme="minorEastAsia" w:eastAsiaTheme="minorEastAsia" w:cstheme="minorEastAsia"/>
          <w:b/>
          <w:sz w:val="32"/>
          <w:szCs w:val="32"/>
        </w:rPr>
      </w:pPr>
      <w:r/>
      <w:bookmarkStart w:id="210" w:name="_Hlt26955054"/>
      <w:r/>
      <w:bookmarkEnd w:id="210"/>
      <w:r>
        <w:rPr>
          <w:rFonts w:hint="eastAsia" w:asciiTheme="minorEastAsia" w:hAnsiTheme="minorEastAsia" w:eastAsiaTheme="minorEastAsia" w:cstheme="minorEastAsia"/>
          <w:b/>
          <w:sz w:val="32"/>
          <w:szCs w:val="32"/>
        </w:rPr>
        <w:t xml:space="preserve">合同及商务条款偏离表（分包号：）</w:t>
      </w:r>
      <w:r/>
    </w:p>
    <w:p>
      <w:pPr>
        <w:pStyle w:val="736"/>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16"/>
        <w:gridCol w:w="1065"/>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sz w:val="24"/>
              </w:rPr>
            </w:pPr>
            <w:r/>
            <w:bookmarkStart w:id="211" w:name="_Hlt26671343"/>
            <w:r/>
            <w:bookmarkEnd w:id="211"/>
            <w:r/>
            <w:bookmarkStart w:id="212" w:name="_Hlt26671372"/>
            <w:r/>
            <w:bookmarkEnd w:id="212"/>
            <w:r/>
            <w:bookmarkStart w:id="213" w:name="_Hlt26782999"/>
            <w:r/>
            <w:bookmarkEnd w:id="213"/>
            <w:r/>
            <w:bookmarkStart w:id="214" w:name="_Hlt26955064"/>
            <w:r/>
            <w:bookmarkEnd w:id="214"/>
            <w:r/>
            <w:bookmarkStart w:id="215" w:name="_Hlt24879081"/>
            <w:r/>
            <w:bookmarkEnd w:id="215"/>
            <w:r/>
            <w:bookmarkStart w:id="216" w:name="_Hlt26580838"/>
            <w:r/>
            <w:bookmarkEnd w:id="216"/>
            <w:r/>
            <w:bookmarkStart w:id="217" w:name="_Hlt26609391"/>
            <w:r/>
            <w:bookmarkEnd w:id="217"/>
            <w:r/>
            <w:bookmarkStart w:id="218" w:name="_Hlt26955056"/>
            <w:r/>
            <w:bookmarkEnd w:id="218"/>
            <w:r>
              <w:rPr>
                <w:rFonts w:hint="eastAsia" w:asciiTheme="minorEastAsia" w:hAnsiTheme="minorEastAsia" w:eastAsiaTheme="minorEastAsia" w:cstheme="minorEastAsia"/>
                <w:b/>
                <w:sz w:val="24"/>
              </w:rPr>
              <w:t xml:space="preserve">对本项目商务要求条款的偏离情况（请进行勾选）：</w:t>
            </w:r>
            <w:r/>
          </w:p>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85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41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6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合同及商务条款偏离表附件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20"/>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20"/>
        </w:numPr>
        <w:spacing w:line="400" w:lineRule="exact"/>
        <w:rPr>
          <w:rFonts w:hint="eastAsia"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3.如果招标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8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480" w:lineRule="auto"/>
        <w:rPr>
          <w:rFonts w:hint="eastAsia" w:asciiTheme="minorEastAsia" w:hAnsiTheme="minorEastAsia" w:eastAsiaTheme="minorEastAsia" w:cstheme="minorEastAsia"/>
          <w:sz w:val="30"/>
        </w:rPr>
      </w:pPr>
      <w:r>
        <w:rPr>
          <w:rFonts w:hint="eastAsia" w:asciiTheme="minorEastAsia" w:hAnsiTheme="minorEastAsia" w:eastAsiaTheme="minorEastAsia" w:cstheme="minorEastAsia"/>
          <w:sz w:val="30"/>
        </w:rPr>
      </w:r>
      <w:r/>
    </w:p>
    <w:p>
      <w:pPr>
        <w:pStyle w:val="930"/>
        <w:ind w:firstLine="0"/>
        <w:rPr>
          <w:rFonts w:hint="eastAsia" w:asciiTheme="minorEastAsia" w:hAnsiTheme="minorEastAsia" w:eastAsiaTheme="minorEastAsia" w:cstheme="minorEastAsia"/>
          <w:sz w:val="24"/>
        </w:rPr>
      </w:pPr>
      <w:r/>
      <w:bookmarkStart w:id="219" w:name="_Hlt26609389"/>
      <w:r/>
      <w:bookmarkEnd w:id="219"/>
      <w:r/>
      <w:bookmarkStart w:id="220" w:name="_Hlt26955066"/>
      <w:r/>
      <w:bookmarkEnd w:id="220"/>
      <w:r/>
      <w:bookmarkStart w:id="221" w:name="_Hlt26671374"/>
      <w:r/>
      <w:bookmarkEnd w:id="221"/>
      <w:r/>
      <w:bookmarkStart w:id="222" w:name="_Toc462564146"/>
      <w:r/>
      <w:bookmarkEnd w:id="195"/>
      <w:bookmarkEnd w:id="196"/>
      <w:bookmarkEnd w:id="222"/>
      <w:r/>
    </w:p>
    <w:p>
      <w:pPr>
        <w:jc w:val="center"/>
        <w:rPr>
          <w:rFonts w:hint="eastAsia" w:asciiTheme="minorEastAsia" w:hAnsiTheme="minorEastAsia" w:eastAsiaTheme="minorEastAsia" w:cstheme="minorEastAsia"/>
          <w:b/>
          <w:sz w:val="32"/>
          <w:szCs w:val="32"/>
        </w:rPr>
      </w:pPr>
      <w:r/>
      <w:bookmarkStart w:id="223" w:name="_格式2__法定代表人授权书"/>
      <w:r/>
      <w:bookmarkEnd w:id="223"/>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b/>
          <w:i/>
          <w:sz w:val="32"/>
          <w:szCs w:val="32"/>
          <w:u w:val="single"/>
        </w:rPr>
        <w:t xml:space="preserve">十三、开标一览表</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投标人全称（加盖CA电子签章）：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招标编号：                                   分包号：</w:t>
      </w:r>
      <w:r/>
    </w:p>
    <w:tbl>
      <w:tblPr>
        <w:tblStyle w:val="7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投标总报价</w:t>
            </w:r>
            <w:r/>
          </w:p>
        </w:tc>
      </w:tr>
      <w:tr>
        <w:trPr>
          <w:cantSplit/>
          <w:trHeight w:val="612"/>
        </w:trPr>
        <w:tc>
          <w:tcPr>
            <w:gridSpan w:val="2"/>
            <w:tcW w:w="8886"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核心产品品牌</w:t>
            </w:r>
            <w:r/>
          </w:p>
        </w:tc>
        <w:tc>
          <w:tcPr>
            <w:tcW w:w="6405"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w:t>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十四、投标人关于检测报告合规性的承诺函（实质性格式）</w:t>
      </w:r>
      <w:r/>
    </w:p>
    <w:p>
      <w:pPr>
        <w:ind w:firstLine="42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page">
                  <wp:posOffset>533400</wp:posOffset>
                </wp:positionH>
                <wp:positionV relativeFrom="paragraph">
                  <wp:posOffset>140970</wp:posOffset>
                </wp:positionV>
                <wp:extent cx="38100" cy="222885"/>
                <wp:effectExtent l="0" t="0" r="0" b="5715"/>
                <wp:wrapNone/>
                <wp:docPr id="13" name="矩形 6"/>
                <wp:cNvGraphicFramePr/>
                <a:graphic xmlns:a="http://schemas.openxmlformats.org/drawingml/2006/main">
                  <a:graphicData uri="http://schemas.microsoft.com/office/word/2010/wordprocessingShape">
                    <wps:wsp>
                      <wps:cNvPr id="0" name=""/>
                      <wps:cNvSpPr/>
                      <wps:spPr bwMode="auto">
                        <a:xfrm>
                          <a:off x="0" y="0"/>
                          <a:ext cx="38100" cy="222885"/>
                        </a:xfrm>
                        <a:prstGeom prst="rect">
                          <a:avLst/>
                        </a:prstGeom>
                        <a:solidFill>
                          <a:srgbClr val="DDDDDD"/>
                        </a:solidFill>
                        <a:ln>
                          <a:noFill/>
                        </a:ln>
                      </wps:spPr>
                      <wps:bodyPr rot="0">
                        <a:prstTxWarp prst="textNoShape">
                          <a:avLst/>
                        </a:prstTxWarp>
                        <a:noAutofit/>
                      </wps:bodyPr>
                    </wps:wsp>
                  </a:graphicData>
                </a:graphic>
              </wp:anchor>
            </w:drawing>
          </mc:Choice>
          <mc:Fallback>
            <w:pict>
              <v:shape id="shape 12" o:spid="_x0000_s12" o:spt="1" type="#_x0000_t1" style="position:absolute;z-index:251671552;o:allowoverlap:true;o:allowincell:true;mso-position-horizontal-relative:page;margin-left:42.0pt;mso-position-horizontal:absolute;mso-position-vertical-relative:text;margin-top:11.1pt;mso-position-vertical:absolute;width:3.0pt;height:17.6pt;mso-wrap-distance-left:9.0pt;mso-wrap-distance-top:0.0pt;mso-wrap-distance-right:9.0pt;mso-wrap-distance-bottom:0.0pt;visibility:visible;" fillcolor="#DDDDDD" stroked="f"/>
            </w:pict>
          </mc:Fallback>
        </mc:AlternateContent>
      </w:r>
      <w:r>
        <w:rPr>
          <w:rFonts w:hint="eastAsia" w:asciiTheme="minorEastAsia" w:hAnsiTheme="minorEastAsia" w:eastAsiaTheme="minorEastAsia" w:cstheme="minorEastAsia"/>
          <w:sz w:val="24"/>
          <w:szCs w:val="24"/>
        </w:rPr>
        <w:t xml:space="preserve">（本承诺书须加盖投标人公章，随投标文件一并提交）</w:t>
      </w:r>
      <w:r/>
    </w:p>
    <w:p>
      <w:pPr>
        <w:pStyle w:val="739"/>
        <w:spacing w:before="17"/>
        <w:rPr>
          <w:rFonts w:hint="eastAsia" w:asciiTheme="minorEastAsia" w:hAnsiTheme="minorEastAsia" w:eastAsiaTheme="minorEastAsia" w:cstheme="minorEastAsia"/>
          <w:b/>
          <w:sz w:val="10"/>
        </w:rPr>
      </w:pPr>
      <w:r>
        <w:rPr>
          <w:rFonts w:hint="eastAsia" w:asciiTheme="minorEastAsia" w:hAnsiTheme="minorEastAsia" w:eastAsiaTheme="minorEastAsia" w:cstheme="minorEastAsia"/>
          <w:b/>
          <w:sz w:val="10"/>
        </w:rPr>
      </w:r>
      <w:r/>
    </w:p>
    <w:p>
      <w:pPr>
        <w:ind w:left="100"/>
        <w:jc w:val="center"/>
        <w:spacing w:before="201" w:line="400" w:lineRule="exact"/>
        <w:rPr>
          <w:rFonts w:hint="eastAsia" w:asciiTheme="minorEastAsia" w:hAnsiTheme="minorEastAsia" w:eastAsiaTheme="minorEastAsia" w:cstheme="minorEastAsia"/>
          <w:b/>
          <w:sz w:val="24"/>
          <w:szCs w:val="24"/>
        </w:rPr>
      </w:pPr>
      <w:r/>
      <w:bookmarkStart w:id="224" w:name="投标人关于检测报告合规性的承诺书"/>
      <w:r/>
      <w:bookmarkEnd w:id="224"/>
      <w:r>
        <w:rPr>
          <w:rFonts w:hint="eastAsia" w:asciiTheme="minorEastAsia" w:hAnsiTheme="minorEastAsia" w:eastAsiaTheme="minorEastAsia" w:cstheme="minorEastAsia"/>
          <w:b/>
          <w:sz w:val="24"/>
          <w:szCs w:val="24"/>
        </w:rPr>
        <w:t xml:space="preserve">投标人关于检测报告合规性的承诺函</w:t>
      </w:r>
      <w:r/>
    </w:p>
    <w:p>
      <w:pPr>
        <w:pStyle w:val="739"/>
        <w:ind w:left="100"/>
        <w:spacing w:before="116" w:line="400" w:lineRule="exact"/>
        <w:tabs>
          <w:tab w:val="clear" w:pos="567" w:leader="none"/>
          <w:tab w:val="left" w:pos="1888"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致：</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（采购人/采购代理机构）</w:t>
      </w:r>
      <w:r/>
    </w:p>
    <w:p>
      <w:pPr>
        <w:pStyle w:val="739"/>
        <w:ind w:left="100" w:firstLine="504"/>
        <w:spacing w:before="116" w:line="400" w:lineRule="exact"/>
        <w:tabs>
          <w:tab w:val="clear" w:pos="567" w:leader="none"/>
          <w:tab w:val="left" w:pos="1888"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我单位（投标人全称：</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，统一社会信用代码：</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）就参与贵单位组织的“</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”项目（项目编号：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）投标（响应），现就所提交的检测报告及相关证明材料郑重承诺</w:t>
      </w:r>
      <w:r>
        <w:rPr>
          <w:rFonts w:hint="eastAsia" w:asciiTheme="minorEastAsia" w:hAnsiTheme="minorEastAsia" w:eastAsiaTheme="minorEastAsia" w:cstheme="minorEastAsia"/>
          <w:spacing w:val="-17"/>
          <w:szCs w:val="24"/>
        </w:rPr>
        <w:t xml:space="preserve">如</w:t>
      </w:r>
      <w:r>
        <w:rPr>
          <w:rFonts w:hint="eastAsia" w:asciiTheme="minorEastAsia" w:hAnsiTheme="minorEastAsia" w:eastAsiaTheme="minorEastAsia" w:cstheme="minorEastAsia"/>
          <w:szCs w:val="24"/>
        </w:rPr>
        <w:t xml:space="preserve">下：</w:t>
      </w:r>
      <w:r/>
    </w:p>
    <w:p>
      <w:pPr>
        <w:pStyle w:val="732"/>
        <w:numPr>
          <w:ilvl w:val="0"/>
          <w:numId w:val="21"/>
        </w:numPr>
        <w:keepLines w:val="0"/>
        <w:keepNext w:val="0"/>
        <w:spacing w:before="122"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检测报告真实性</w:t>
      </w:r>
      <w:r/>
    </w:p>
    <w:p>
      <w:pPr>
        <w:pStyle w:val="739"/>
        <w:ind w:right="180" w:firstLine="504"/>
        <w:spacing w:before="0" w:line="400" w:lineRule="exact"/>
        <w:tabs>
          <w:tab w:val="clear" w:pos="567" w:leader="none"/>
          <w:tab w:val="left" w:pos="4483"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我单位提交的检测报告（报告编号：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）系由具备有效CMA资质的检验检测机构依法出具，内容真实、完整</w:t>
      </w:r>
      <w:r>
        <w:rPr>
          <w:rFonts w:hint="eastAsia" w:asciiTheme="minorEastAsia" w:hAnsiTheme="minorEastAsia" w:eastAsiaTheme="minorEastAsia" w:cstheme="minorEastAsia"/>
          <w:spacing w:val="-17"/>
          <w:szCs w:val="24"/>
        </w:rPr>
        <w:t xml:space="preserve">， </w:t>
      </w:r>
      <w:r>
        <w:rPr>
          <w:rFonts w:hint="eastAsia" w:asciiTheme="minorEastAsia" w:hAnsiTheme="minorEastAsia" w:eastAsiaTheme="minorEastAsia" w:cstheme="minorEastAsia"/>
          <w:szCs w:val="24"/>
        </w:rPr>
        <w:t xml:space="preserve">未作任何篡改或伪造。</w:t>
      </w:r>
      <w:r/>
    </w:p>
    <w:p>
      <w:pPr>
        <w:pStyle w:val="732"/>
        <w:numPr>
          <w:ilvl w:val="0"/>
          <w:numId w:val="21"/>
        </w:numPr>
        <w:keepLines w:val="0"/>
        <w:keepNext w:val="0"/>
        <w:spacing w:before="41"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检测机构资质有效性</w:t>
      </w:r>
      <w:r/>
    </w:p>
    <w:p>
      <w:pPr>
        <w:pStyle w:val="739"/>
        <w:ind w:right="308" w:firstLine="480"/>
        <w:spacing w:line="400" w:lineRule="exact"/>
        <w:tabs>
          <w:tab w:val="clear" w:pos="567" w:leader="none"/>
          <w:tab w:val="left" w:pos="773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出具机构持有有效的《检验检测机构资质认定证书》（CMA证书编号：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），且所检项目、依据标准及</w:t>
      </w:r>
      <w:r>
        <w:rPr>
          <w:rFonts w:hint="eastAsia" w:asciiTheme="minorEastAsia" w:hAnsiTheme="minorEastAsia" w:eastAsiaTheme="minorEastAsia" w:cstheme="minorEastAsia"/>
          <w:spacing w:val="-18"/>
          <w:szCs w:val="24"/>
        </w:rPr>
        <w:t xml:space="preserve">方</w:t>
      </w:r>
      <w:r>
        <w:rPr>
          <w:rFonts w:hint="eastAsia" w:asciiTheme="minorEastAsia" w:hAnsiTheme="minorEastAsia" w:eastAsiaTheme="minorEastAsia" w:cstheme="minorEastAsia"/>
          <w:szCs w:val="24"/>
        </w:rPr>
        <w:t xml:space="preserve">法均在其《资质认定能力附表》核准范围内。</w:t>
      </w:r>
      <w:r/>
    </w:p>
    <w:p>
      <w:pPr>
        <w:pStyle w:val="732"/>
        <w:numPr>
          <w:ilvl w:val="0"/>
          <w:numId w:val="21"/>
        </w:numPr>
        <w:keepLines w:val="0"/>
        <w:keepNext w:val="0"/>
        <w:spacing w:before="121"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材料一致性</w:t>
      </w:r>
      <w:r/>
    </w:p>
    <w:p>
      <w:pPr>
        <w:pStyle w:val="739"/>
        <w:ind w:firstLine="504"/>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所投产品品牌、型号、技术参数与检测报告完全一致。</w:t>
      </w:r>
      <w:r/>
    </w:p>
    <w:p>
      <w:pPr>
        <w:pStyle w:val="732"/>
        <w:numPr>
          <w:ilvl w:val="0"/>
          <w:numId w:val="21"/>
        </w:numPr>
        <w:jc w:val="both"/>
        <w:keepLines w:val="0"/>
        <w:keepNext w:val="0"/>
        <w:spacing w:before="122"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法律责任承担</w:t>
      </w:r>
      <w:r/>
    </w:p>
    <w:p>
      <w:pPr>
        <w:pStyle w:val="739"/>
        <w:ind w:firstLine="504"/>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如上述承诺不实，或经核查发现存在提供虚假材料谋取中标行为，我单位自愿接受以下处理：投标无效或中标无效；列入政府采购不良行为记录；承担由此造成的一切法律责任及经济损失。</w:t>
      </w:r>
      <w:r/>
    </w:p>
    <w:p>
      <w:pPr>
        <w:pStyle w:val="739"/>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739"/>
        <w:ind w:left="100"/>
        <w:spacing w:before="56"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本承诺函自签署之日起生效，具有法律约束力。</w:t>
      </w:r>
      <w:r/>
    </w:p>
    <w:p>
      <w:pPr>
        <w:pStyle w:val="739"/>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投标人（盖章）：</w:t>
      </w:r>
      <w:r/>
    </w:p>
    <w:p>
      <w:pPr>
        <w:pStyle w:val="739"/>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法定代表人或授权代表（签字）</w:t>
      </w:r>
      <w:r/>
    </w:p>
    <w:p>
      <w:pPr>
        <w:pStyle w:val="739"/>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pStyle w:val="739"/>
        <w:spacing w:before="18"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731"/>
        <w:spacing w:line="400" w:lineRule="exact"/>
        <w:rPr>
          <w:rFonts w:hint="eastAsia" w:asciiTheme="minorEastAsia" w:hAnsiTheme="minorEastAsia" w:eastAsiaTheme="minorEastAsia" w:cstheme="minorEastAsia"/>
          <w:sz w:val="24"/>
          <w:szCs w:val="24"/>
        </w:rPr>
      </w:pPr>
      <w:r/>
      <w:bookmarkStart w:id="225" w:name="使用说明："/>
      <w:r/>
      <w:bookmarkEnd w:id="225"/>
      <w:r>
        <w:rPr>
          <w:rFonts w:hint="eastAsia" w:asciiTheme="minorEastAsia" w:hAnsiTheme="minorEastAsia" w:eastAsiaTheme="minorEastAsia" w:cstheme="minorEastAsia"/>
          <w:sz w:val="24"/>
          <w:szCs w:val="24"/>
        </w:rPr>
        <w:t xml:space="preserve">使用说明：</w:t>
      </w:r>
      <w:r/>
    </w:p>
    <w:p>
      <w:pPr>
        <w:pStyle w:val="739"/>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本承诺函为强制性投标文件组成部分 ，未提供或未盖章视为未实质性响应采购要求； 采购人有权依据本承诺书启动核查程序，并作为后续处理依据。</w:t>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6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十五、投标文件通用模版编制和评审要求</w:t>
      </w:r>
      <w:r/>
    </w:p>
    <w:tbl>
      <w:tblPr>
        <w:tblStyle w:val="735"/>
        <w:tblpPr w:horzAnchor="page" w:tblpX="1358" w:vertAnchor="text" w:tblpY="398" w:leftFromText="180" w:topFromText="0" w:rightFromText="180" w:bottomFromText="0"/>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946"/>
        <w:gridCol w:w="5311"/>
      </w:tblGrid>
      <w:tr>
        <w:trPr>
          <w:trHeight w:val="405"/>
        </w:trPr>
        <w:tc>
          <w:tcPr>
            <w:tcW w:w="1099"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类型</w:t>
            </w:r>
            <w:r/>
          </w:p>
        </w:tc>
        <w:tc>
          <w:tcPr>
            <w:tcW w:w="2946"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栏目名称</w:t>
            </w:r>
            <w:r/>
          </w:p>
        </w:tc>
        <w:tc>
          <w:tcPr>
            <w:tcW w:w="5311"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编制和评审要求</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投标文件封面</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按照招标（采购）文件的规定格式。(格式见</w:t>
            </w:r>
            <w:r>
              <w:rPr>
                <w:rFonts w:hint="eastAsia" w:asciiTheme="minorEastAsia" w:hAnsiTheme="minorEastAsia" w:eastAsiaTheme="minorEastAsia" w:cstheme="minorEastAsia"/>
                <w:b/>
                <w:bCs/>
              </w:rPr>
              <w:t xml:space="preserve">《投标文件格式》</w:t>
            </w:r>
            <w:r>
              <w:rPr>
                <w:rFonts w:hint="eastAsia" w:asciiTheme="minorEastAsia" w:hAnsiTheme="minorEastAsia" w:eastAsiaTheme="minorEastAsia" w:cstheme="minorEastAsia"/>
              </w:rPr>
              <w:t xml:space="preserve">)</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开标一览表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《开标一览表》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技术要求响应及偏离表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《技术要求响应及偏离表》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商务要求响应及偏离表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《商务要求响应及偏离表》</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项目完整技术和实施方案</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投标人（供应商）资格声明函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《投标人（供应商）资格声明函》</w:t>
            </w:r>
            <w:r>
              <w:rPr>
                <w:rFonts w:hint="eastAsia" w:asciiTheme="minorEastAsia" w:hAnsiTheme="minorEastAsia" w:eastAsiaTheme="minorEastAsia" w:cstheme="minorEastAsia"/>
              </w:rPr>
              <w:t xml:space="preserve">。(格式见《投标文件格式》)</w:t>
            </w:r>
            <w:r/>
          </w:p>
        </w:tc>
      </w:tr>
      <w:tr>
        <w:trPr>
          <w:trHeight w:val="216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无需投标人（供应</w:t>
            </w:r>
            <w:r>
              <w:rPr>
                <w:rFonts w:hint="eastAsia" w:asciiTheme="minorEastAsia" w:hAnsiTheme="minorEastAsia" w:eastAsiaTheme="minorEastAsia" w:cstheme="minorEastAsia"/>
              </w:rPr>
              <w:t xml:space="preserve">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中小企业声明函等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《中小企业声明函》或者《残疾人福利性单位声明函》或者监狱企业证明文件</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其他落实政府采购政策的资格要求</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如有的提供，否则无需提供。详见第一章《投标邀请》相关要求。</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是否接受联合体投标</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如是接受联合体投标，且投标人（供应商）组成联合体投标的必须提供</w:t>
            </w:r>
            <w:r>
              <w:rPr>
                <w:rFonts w:hint="eastAsia" w:asciiTheme="minorEastAsia" w:hAnsiTheme="minorEastAsia" w:eastAsiaTheme="minorEastAsia" w:cstheme="minorEastAsia"/>
                <w:b/>
                <w:bCs/>
              </w:rPr>
              <w:t xml:space="preserve">《联合体协议》</w:t>
            </w:r>
            <w:r>
              <w:rPr>
                <w:rFonts w:hint="eastAsia" w:asciiTheme="minorEastAsia" w:hAnsiTheme="minorEastAsia" w:eastAsiaTheme="minorEastAsia" w:cstheme="minorEastAsia"/>
              </w:rPr>
              <w:t xml:space="preserve">原件的电子件，格式见《投标文件格式》)，否则无需提供。</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本项目的特定资格要求</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如有特定资格要求的提供，详见第一章《投标邀请》本项目的特定资格要求中规定要求提供的证明文件或材料，否则无需提供。</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　</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政府采购供应商信用承诺书（实质性格式）</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《政府采购供应商信用承诺书（实质性格式）》</w:t>
            </w:r>
            <w:r>
              <w:rPr>
                <w:rFonts w:hint="eastAsia" w:asciiTheme="minorEastAsia" w:hAnsiTheme="minorEastAsia" w:eastAsiaTheme="minorEastAsia" w:cstheme="minorEastAsia"/>
              </w:rPr>
              <w:t xml:space="preserve">。(格式见《投标文件格式》)　</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法定代表人资格证明书、法人授权书、投标函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按招标（采购）文件要求提供</w:t>
            </w:r>
            <w:r>
              <w:rPr>
                <w:rFonts w:hint="eastAsia" w:asciiTheme="minorEastAsia" w:hAnsiTheme="minorEastAsia" w:eastAsiaTheme="minorEastAsia" w:cstheme="minorEastAsia"/>
                <w:b/>
                <w:bCs/>
              </w:rPr>
              <w:t xml:space="preserve">《法定代表人资格证明书》、《法人授权书》、《投标函》</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投标报价</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由评委审查，无需供应商提供材料。开标一览表、投标报价、未超过招标（采购）文件中规定的项目/采购包预算金额或者项目/采购包最高限价。</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报价唯一性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投标（响应）文件未出现可选择性或可调整的报价（招标（采购）文件另有规定的除外）；提供</w:t>
            </w:r>
            <w:r>
              <w:rPr>
                <w:rFonts w:hint="eastAsia" w:asciiTheme="minorEastAsia" w:hAnsiTheme="minorEastAsia" w:eastAsiaTheme="minorEastAsia" w:cstheme="minorEastAsia"/>
                <w:b/>
                <w:bCs/>
              </w:rPr>
              <w:t xml:space="preserve">《分项报价表》</w:t>
            </w:r>
            <w:r>
              <w:rPr>
                <w:rFonts w:hint="eastAsia" w:asciiTheme="minorEastAsia" w:hAnsiTheme="minorEastAsia" w:eastAsiaTheme="minorEastAsia" w:cstheme="minorEastAsia"/>
              </w:rPr>
              <w:t xml:space="preserve">。(格式见《投标文件格式》)</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报价合理性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报价的修正（如有）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由评委审查，无需供应商提供材料。不涉及报价修正，或投标（响应）文件报价出现前后不一致时，投标人（供应商）对修正后的报价予以确认。</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签署、加盖公章</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由评委审查，无需供应商提供材料。按照招标（采购）文件要求签署、加盖公章的。</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进口产品（如有）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由评委审查，无需供应商提供材料。招标（采购）文件不接受进口产品投标的内容时，投标人（供应商）所投产品均为非进口产品。</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投标完整性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由评委审查，无需供应商提供材料。投标人（供应商）未将一个采购包中的内容拆开投标。</w:t>
            </w:r>
            <w:r/>
          </w:p>
        </w:tc>
      </w:tr>
      <w:tr>
        <w:trPr>
          <w:trHeight w:val="135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公平竞争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国家有关部门对投标产品有强制性规定或要求的</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附加条件</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由评委审查，无需供应商提供材料。投标文件未含有采购人不能接受的附加条件的。</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其他无效情形</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由评委审查，无需供应商提供材料。投标人（供应商）、投标文件不存在不符合法律、法规和招标（采购）文件规定的其他无效情形。</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实质性条款响应1</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实质性条款响应2</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实质性条款响应3</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实质性条款响应4</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实质性条款响应5</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其他实质性条款响应</w:t>
            </w:r>
            <w:r/>
          </w:p>
        </w:tc>
        <w:tc>
          <w:tcPr>
            <w:tcW w:w="5311" w:type="dxa"/>
            <w:vAlign w:val="center"/>
            <w:textDirection w:val="lrTb"/>
            <w:noWrap w:val="false"/>
          </w:tcPr>
          <w:p>
            <w:pPr>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价格折扣文件格式</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小微企业声明函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属于小微企业的提供符合招标（采购）文件要求的</w:t>
            </w:r>
            <w:r>
              <w:rPr>
                <w:rFonts w:hint="eastAsia" w:asciiTheme="minorEastAsia" w:hAnsiTheme="minorEastAsia" w:eastAsiaTheme="minorEastAsia" w:cstheme="minorEastAsia"/>
                <w:b/>
                <w:bCs/>
              </w:rPr>
              <w:t xml:space="preserve">《小微企业声明函》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《残疾人福利性单位声明函》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监狱企业证明文件</w:t>
            </w:r>
            <w:r>
              <w:rPr>
                <w:rFonts w:hint="eastAsia" w:asciiTheme="minorEastAsia" w:hAnsiTheme="minorEastAsia" w:eastAsiaTheme="minorEastAsia" w:cstheme="minorEastAsia"/>
              </w:rPr>
              <w:t xml:space="preserve">。(格式见《投标文件格式》)</w:t>
            </w:r>
            <w:r/>
          </w:p>
        </w:tc>
      </w:tr>
    </w:tbl>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736"/>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736"/>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736"/>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质疑函范本</w:t>
      </w:r>
      <w:r/>
    </w:p>
    <w:p>
      <w:pPr>
        <w:spacing w:before="29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包号：</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rPr>
          <w:rFonts w:hint="eastAsia" w:asciiTheme="minorEastAsia" w:hAnsiTheme="minorEastAsia" w:eastAsiaTheme="minorEastAsia" w:cstheme="minorEastAsia"/>
          <w:sz w:val="24"/>
          <w:szCs w:val="24"/>
          <w:u w:val="single"/>
        </w:rPr>
        <w:t xml:space="preserve">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1.供应商提出质疑时，应提交质疑函和必要的证明材料。</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3.质疑供应商若对项目的某一分包进行质疑，质疑函中应列明具体分包号。</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pPr>
    <w:r>
      <w:fldChar w:fldCharType="begin"/>
    </w:r>
    <w:r>
      <w:instrText xml:space="preserve">PAGE   \* MERGEFORMAT</w:instrText>
    </w:r>
    <w:r>
      <w:fldChar w:fldCharType="separate"/>
    </w:r>
    <w:r>
      <w:rPr>
        <w:lang w:val="zh-CN"/>
      </w:rPr>
      <w:t xml:space="preserve">58</w:t>
    </w:r>
    <w:r>
      <w:fldChar w:fldCharType="end"/>
    </w:r>
    <w:r/>
  </w:p>
  <w:p>
    <w:pPr>
      <w:pStyle w:val="973"/>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pPr>
    <w:r>
      <w:fldChar w:fldCharType="begin"/>
    </w:r>
    <w:r>
      <w:instrText xml:space="preserve">PAGE   \* MERGEFORMAT</w:instrText>
    </w:r>
    <w:r>
      <w:fldChar w:fldCharType="separate"/>
    </w:r>
    <w:r>
      <w:rPr>
        <w:lang w:val="zh-CN"/>
      </w:rPr>
      <w:t xml:space="preserve">59</w:t>
    </w:r>
    <w:r>
      <w:fldChar w:fldCharType="end"/>
    </w:r>
    <w:r/>
  </w:p>
  <w:p>
    <w:pPr>
      <w:pStyle w:val="973"/>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pPr>
    <w:r>
      <w:fldChar w:fldCharType="begin"/>
    </w:r>
    <w:r>
      <w:instrText xml:space="preserve">PAGE   \* MERGEFORMAT</w:instrText>
    </w:r>
    <w:r>
      <w:fldChar w:fldCharType="separate"/>
    </w:r>
    <w:r>
      <w:rPr>
        <w:lang w:val="zh-CN"/>
      </w:rPr>
      <w:t xml:space="preserve">61</w:t>
    </w:r>
    <w:r>
      <w:fldChar w:fldCharType="end"/>
    </w:r>
    <w:r/>
  </w:p>
  <w:p>
    <w:pPr>
      <w:pStyle w:val="973"/>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3）"/>
      <w:lvlJc w:val="left"/>
      <w:pPr>
        <w:ind w:left="0" w:firstLine="0"/>
      </w:pPr>
      <w:rPr>
        <w:rFonts w:hint="eastAsia"/>
      </w:rPr>
    </w:lvl>
    <w:lvl w:ilvl="3">
      <w:start w:val="1"/>
      <w:numFmt w:val="decimalEnclosedCircleChinese"/>
      <w:isLgl w:val="false"/>
      <w:suff w:val="nothing"/>
      <w:lvlText w:val="%4"/>
      <w:lvlJc w:val="left"/>
      <w:pPr>
        <w:ind w:left="0" w:firstLine="0"/>
      </w:pPr>
      <w:rPr>
        <w:rFonts w:hint="eastAsia"/>
      </w:rPr>
    </w:lvl>
    <w:lvl w:ilvl="4">
      <w:start w:val="1"/>
      <w:numFmt w:val="decimal"/>
      <w:isLgl w:val="false"/>
      <w:suff w:val="nothing"/>
      <w:lvlText w:val="%5）"/>
      <w:lvlJc w:val="left"/>
      <w:pPr>
        <w:ind w:left="0" w:firstLine="0"/>
      </w:pPr>
      <w:rPr>
        <w:rFonts w:hint="eastAsia"/>
      </w:rPr>
    </w:lvl>
    <w:lvl w:ilvl="5">
      <w:start w:val="1"/>
      <w:numFmt w:val="lowerLetter"/>
      <w:isLgl w:val="false"/>
      <w:suff w:val="nothing"/>
      <w:lvlText w:val="%6．"/>
      <w:lvlJc w:val="left"/>
      <w:pPr>
        <w:ind w:left="0" w:firstLine="0"/>
      </w:pPr>
      <w:rPr>
        <w:rFonts w:hint="eastAsia"/>
      </w:rPr>
    </w:lvl>
    <w:lvl w:ilvl="6">
      <w:start w:val="1"/>
      <w:numFmt w:val="lowerLetter"/>
      <w:isLgl w:val="false"/>
      <w:suff w:val="nothing"/>
      <w:lvlText w:val="%7）"/>
      <w:lvlJc w:val="left"/>
      <w:pPr>
        <w:ind w:left="0" w:firstLine="0"/>
      </w:pPr>
      <w:rPr>
        <w:rFonts w:hint="eastAsia"/>
      </w:rPr>
    </w:lvl>
    <w:lvl w:ilvl="7">
      <w:start w:val="1"/>
      <w:numFmt w:val="lowerRoman"/>
      <w:isLgl w:val="false"/>
      <w:suff w:val="nothing"/>
      <w:lvlText w:val="%8．"/>
      <w:lvlJc w:val="left"/>
      <w:pPr>
        <w:ind w:left="0" w:firstLine="0"/>
      </w:pPr>
      <w:rPr>
        <w:rFonts w:hint="eastAsia"/>
      </w:rPr>
    </w:lvl>
    <w:lvl w:ilvl="8">
      <w:start w:val="1"/>
      <w:numFmt w:val="lowerRoman"/>
      <w:isLgl w:val="false"/>
      <w:suff w:val="nothing"/>
      <w:lvlText w:val="%9）"/>
      <w:lvlJc w:val="left"/>
      <w:pPr>
        <w:ind w:left="0" w:firstLine="0"/>
      </w:pPr>
      <w:rPr>
        <w:rFonts w:hint="eastAsia"/>
      </w:rPr>
    </w:lvl>
  </w:abstractNum>
  <w:abstractNum w:abstractNumId="6">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upperLetter"/>
      <w:pStyle w:val="101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9"/>
      <w:isLgl w:val="false"/>
      <w:suff w:val="nothing"/>
      <w:lvlText w:val=""/>
      <w:lvlJc w:val="left"/>
      <w:pPr>
        <w:ind w:left="0" w:firstLine="0"/>
      </w:pPr>
      <w:rPr>
        <w:rFonts w:hint="eastAsia"/>
      </w:rPr>
    </w:lvl>
    <w:lvl w:ilvl="6">
      <w:start w:val="1"/>
      <w:numFmt w:val="decimal"/>
      <w:pStyle w:val="941"/>
      <w:isLgl w:val="false"/>
      <w:suff w:val="nothing"/>
      <w:lvlText w:val=""/>
      <w:lvlJc w:val="left"/>
      <w:pPr>
        <w:ind w:left="0" w:firstLine="0"/>
      </w:pPr>
      <w:rPr>
        <w:rFonts w:hint="eastAsia"/>
      </w:rPr>
    </w:lvl>
    <w:lvl w:ilvl="7">
      <w:start w:val="1"/>
      <w:numFmt w:val="decimal"/>
      <w:pStyle w:val="943"/>
      <w:isLgl w:val="false"/>
      <w:suff w:val="nothing"/>
      <w:lvlText w:val=""/>
      <w:lvlJc w:val="left"/>
      <w:pPr>
        <w:ind w:left="0" w:firstLine="0"/>
      </w:pPr>
      <w:rPr>
        <w:rFonts w:hint="eastAsia"/>
      </w:rPr>
    </w:lvl>
    <w:lvl w:ilvl="8">
      <w:start w:val="1"/>
      <w:numFmt w:val="decimal"/>
      <w:pStyle w:val="945"/>
      <w:isLgl w:val="false"/>
      <w:suff w:val="nothing"/>
      <w:lvlText w:val=""/>
      <w:lvlJc w:val="left"/>
      <w:pPr>
        <w:ind w:left="0" w:firstLine="0"/>
      </w:pPr>
      <w:rPr>
        <w:rFonts w:hint="eastAsia"/>
      </w:rPr>
    </w:lvl>
  </w:abstractNum>
  <w:abstractNum w:abstractNumId="19">
    <w:multiLevelType w:val="hybridMultilevel"/>
    <w:lvl w:ilvl="0">
      <w:start w:val="1"/>
      <w:numFmt w:val="decimal"/>
      <w:isLgl w:val="false"/>
      <w:suff w:val="tab"/>
      <w:lvlText w:val="%1."/>
      <w:lvlJc w:val="left"/>
      <w:pPr>
        <w:ind w:left="490" w:hanging="277"/>
      </w:pPr>
      <w:rPr>
        <w:rFonts w:hint="default" w:ascii="微软雅黑" w:hAnsi="微软雅黑" w:eastAsia="微软雅黑" w:cs="微软雅黑"/>
        <w:spacing w:val="-1"/>
        <w:sz w:val="19"/>
        <w:szCs w:val="19"/>
        <w:lang w:val="en-US" w:eastAsia="zh-CN" w:bidi="ar-SA"/>
      </w:rPr>
    </w:lvl>
    <w:lvl w:ilvl="1">
      <w:start w:val="0"/>
      <w:numFmt w:val="bullet"/>
      <w:isLgl w:val="false"/>
      <w:suff w:val="tab"/>
      <w:lvlText w:val="•"/>
      <w:lvlJc w:val="left"/>
      <w:pPr>
        <w:ind w:left="1528" w:hanging="277"/>
      </w:pPr>
      <w:rPr>
        <w:rFonts w:hint="default"/>
        <w:lang w:val="en-US" w:eastAsia="zh-CN" w:bidi="ar-SA"/>
      </w:rPr>
    </w:lvl>
    <w:lvl w:ilvl="2">
      <w:start w:val="0"/>
      <w:numFmt w:val="bullet"/>
      <w:isLgl w:val="false"/>
      <w:suff w:val="tab"/>
      <w:lvlText w:val="•"/>
      <w:lvlJc w:val="left"/>
      <w:pPr>
        <w:ind w:left="2556" w:hanging="277"/>
      </w:pPr>
      <w:rPr>
        <w:rFonts w:hint="default"/>
        <w:lang w:val="en-US" w:eastAsia="zh-CN" w:bidi="ar-SA"/>
      </w:rPr>
    </w:lvl>
    <w:lvl w:ilvl="3">
      <w:start w:val="0"/>
      <w:numFmt w:val="bullet"/>
      <w:isLgl w:val="false"/>
      <w:suff w:val="tab"/>
      <w:lvlText w:val="•"/>
      <w:lvlJc w:val="left"/>
      <w:pPr>
        <w:ind w:left="3584" w:hanging="277"/>
      </w:pPr>
      <w:rPr>
        <w:rFonts w:hint="default"/>
        <w:lang w:val="en-US" w:eastAsia="zh-CN" w:bidi="ar-SA"/>
      </w:rPr>
    </w:lvl>
    <w:lvl w:ilvl="4">
      <w:start w:val="0"/>
      <w:numFmt w:val="bullet"/>
      <w:isLgl w:val="false"/>
      <w:suff w:val="tab"/>
      <w:lvlText w:val="•"/>
      <w:lvlJc w:val="left"/>
      <w:pPr>
        <w:ind w:left="4612" w:hanging="277"/>
      </w:pPr>
      <w:rPr>
        <w:rFonts w:hint="default"/>
        <w:lang w:val="en-US" w:eastAsia="zh-CN" w:bidi="ar-SA"/>
      </w:rPr>
    </w:lvl>
    <w:lvl w:ilvl="5">
      <w:start w:val="0"/>
      <w:numFmt w:val="bullet"/>
      <w:isLgl w:val="false"/>
      <w:suff w:val="tab"/>
      <w:lvlText w:val="•"/>
      <w:lvlJc w:val="left"/>
      <w:pPr>
        <w:ind w:left="5640" w:hanging="277"/>
      </w:pPr>
      <w:rPr>
        <w:rFonts w:hint="default"/>
        <w:lang w:val="en-US" w:eastAsia="zh-CN" w:bidi="ar-SA"/>
      </w:rPr>
    </w:lvl>
    <w:lvl w:ilvl="6">
      <w:start w:val="0"/>
      <w:numFmt w:val="bullet"/>
      <w:isLgl w:val="false"/>
      <w:suff w:val="tab"/>
      <w:lvlText w:val="•"/>
      <w:lvlJc w:val="left"/>
      <w:pPr>
        <w:ind w:left="6668" w:hanging="277"/>
      </w:pPr>
      <w:rPr>
        <w:rFonts w:hint="default"/>
        <w:lang w:val="en-US" w:eastAsia="zh-CN" w:bidi="ar-SA"/>
      </w:rPr>
    </w:lvl>
    <w:lvl w:ilvl="7">
      <w:start w:val="0"/>
      <w:numFmt w:val="bullet"/>
      <w:isLgl w:val="false"/>
      <w:suff w:val="tab"/>
      <w:lvlText w:val="•"/>
      <w:lvlJc w:val="left"/>
      <w:pPr>
        <w:ind w:left="7696" w:hanging="277"/>
      </w:pPr>
      <w:rPr>
        <w:rFonts w:hint="default"/>
        <w:lang w:val="en-US" w:eastAsia="zh-CN" w:bidi="ar-SA"/>
      </w:rPr>
    </w:lvl>
    <w:lvl w:ilvl="8">
      <w:start w:val="0"/>
      <w:numFmt w:val="bullet"/>
      <w:isLgl w:val="false"/>
      <w:suff w:val="tab"/>
      <w:lvlText w:val="•"/>
      <w:lvlJc w:val="left"/>
      <w:pPr>
        <w:ind w:left="8724" w:hanging="277"/>
      </w:pPr>
      <w:rPr>
        <w:rFonts w:hint="default"/>
        <w:lang w:val="en-US" w:eastAsia="zh-CN" w:bidi="ar-SA"/>
      </w:rPr>
    </w:lvl>
  </w:abstractNum>
  <w:abstractNum w:abstractNumId="2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17"/>
  </w:num>
  <w:num w:numId="3">
    <w:abstractNumId w:val="14"/>
  </w:num>
  <w:num w:numId="4">
    <w:abstractNumId w:val="15"/>
  </w:num>
  <w:num w:numId="5">
    <w:abstractNumId w:val="11"/>
  </w:num>
  <w:num w:numId="6">
    <w:abstractNumId w:val="10"/>
  </w:num>
  <w:num w:numId="7">
    <w:abstractNumId w:val="3"/>
  </w:num>
  <w:num w:numId="8">
    <w:abstractNumId w:val="5"/>
  </w:num>
  <w:num w:numId="9">
    <w:abstractNumId w:val="12"/>
  </w:num>
  <w:num w:numId="10">
    <w:abstractNumId w:val="7"/>
  </w:num>
  <w:num w:numId="11">
    <w:abstractNumId w:val="4"/>
  </w:num>
  <w:num w:numId="12">
    <w:abstractNumId w:val="8"/>
  </w:num>
  <w:num w:numId="13">
    <w:abstractNumId w:val="1"/>
  </w:num>
  <w:num w:numId="14">
    <w:abstractNumId w:val="9"/>
  </w:num>
  <w:num w:numId="15">
    <w:abstractNumId w:val="20"/>
  </w:num>
  <w:num w:numId="16">
    <w:abstractNumId w:val="13"/>
  </w:num>
  <w:num w:numId="17">
    <w:abstractNumId w:val="2"/>
  </w:num>
  <w:num w:numId="18">
    <w:abstractNumId w:val="0"/>
  </w:num>
  <w:num w:numId="19">
    <w:abstractNumId w:val="6"/>
  </w:num>
  <w:num w:numId="20">
    <w:abstractNumId w:val="16"/>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0"/>
    <w:next w:val="730"/>
    <w:link w:val="772"/>
    <w:uiPriority w:val="9"/>
    <w:qFormat/>
    <w:pPr>
      <w:keepLines/>
      <w:keepNext/>
      <w:spacing w:before="480" w:after="200"/>
      <w:outlineLvl w:val="0"/>
    </w:pPr>
    <w:rPr>
      <w:rFonts w:ascii="Arial" w:hAnsi="Arial" w:eastAsia="Arial" w:cs="Arial"/>
      <w:sz w:val="40"/>
      <w:szCs w:val="40"/>
    </w:rPr>
  </w:style>
  <w:style w:type="paragraph" w:styleId="20">
    <w:name w:val="Heading 5"/>
    <w:basedOn w:val="730"/>
    <w:next w:val="730"/>
    <w:link w:val="78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0"/>
    <w:next w:val="730"/>
    <w:link w:val="78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0"/>
    <w:next w:val="730"/>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0"/>
    <w:next w:val="730"/>
    <w:link w:val="78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0"/>
    <w:next w:val="730"/>
    <w:link w:val="788"/>
    <w:uiPriority w:val="9"/>
    <w:unhideWhenUsed/>
    <w:qFormat/>
    <w:pPr>
      <w:keepLines/>
      <w:keepNext/>
      <w:spacing w:before="320" w:after="200"/>
      <w:outlineLvl w:val="8"/>
    </w:pPr>
    <w:rPr>
      <w:rFonts w:ascii="Arial" w:hAnsi="Arial" w:eastAsia="Arial" w:cs="Arial"/>
      <w:i/>
      <w:iCs/>
      <w:sz w:val="21"/>
      <w:szCs w:val="21"/>
    </w:rPr>
  </w:style>
  <w:style w:type="character" w:styleId="34">
    <w:name w:val="Title Char"/>
    <w:basedOn w:val="734"/>
    <w:link w:val="757"/>
    <w:uiPriority w:val="10"/>
    <w:rPr>
      <w:sz w:val="48"/>
      <w:szCs w:val="48"/>
    </w:rPr>
  </w:style>
  <w:style w:type="character" w:styleId="36">
    <w:name w:val="Subtitle Char"/>
    <w:basedOn w:val="734"/>
    <w:link w:val="750"/>
    <w:uiPriority w:val="11"/>
    <w:rPr>
      <w:sz w:val="24"/>
      <w:szCs w:val="24"/>
    </w:rPr>
  </w:style>
  <w:style w:type="character" w:styleId="38">
    <w:name w:val="Quote Char"/>
    <w:link w:val="791"/>
    <w:uiPriority w:val="29"/>
    <w:rPr>
      <w:i/>
    </w:rPr>
  </w:style>
  <w:style w:type="character" w:styleId="40">
    <w:name w:val="Intense Quote Char"/>
    <w:link w:val="793"/>
    <w:uiPriority w:val="30"/>
    <w:rPr>
      <w:i/>
    </w:rPr>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1"/>
    <w:uiPriority w:val="99"/>
    <w:rPr>
      <w:sz w:val="18"/>
    </w:rPr>
  </w:style>
  <w:style w:type="character" w:styleId="178">
    <w:name w:val="Endnote Text Char"/>
    <w:link w:val="744"/>
    <w:uiPriority w:val="99"/>
    <w:rPr>
      <w:sz w:val="20"/>
    </w:rPr>
  </w:style>
  <w:style w:type="paragraph" w:styleId="189">
    <w:name w:val="TOC Heading"/>
    <w:uiPriority w:val="39"/>
    <w:unhideWhenUsed/>
  </w:style>
  <w:style w:type="paragraph" w:styleId="730" w:default="1">
    <w:name w:val="Normal"/>
    <w:next w:val="736"/>
    <w:uiPriority w:val="0"/>
    <w:qFormat/>
    <w:pPr>
      <w:jc w:val="both"/>
      <w:widowControl w:val="off"/>
    </w:pPr>
    <w:rPr>
      <w:rFonts w:ascii="Times New Roman" w:hAnsi="Times New Roman" w:eastAsia="宋体" w:cs="Times New Roman"/>
      <w:sz w:val="21"/>
      <w:szCs w:val="21"/>
      <w:lang w:val="en-US" w:eastAsia="zh-CN" w:bidi="ar-SA"/>
    </w:rPr>
  </w:style>
  <w:style w:type="paragraph" w:styleId="731">
    <w:name w:val="Heading 2"/>
    <w:basedOn w:val="730"/>
    <w:uiPriority w:val="1"/>
    <w:qFormat/>
    <w:pPr>
      <w:ind w:left="100"/>
      <w:spacing w:before="201"/>
      <w:outlineLvl w:val="1"/>
    </w:pPr>
    <w:rPr>
      <w:rFonts w:ascii="微软雅黑" w:hAnsi="微软雅黑" w:eastAsia="微软雅黑" w:cs="微软雅黑"/>
      <w:b/>
      <w:bCs/>
      <w:sz w:val="23"/>
      <w:szCs w:val="23"/>
    </w:rPr>
  </w:style>
  <w:style w:type="paragraph" w:styleId="732">
    <w:name w:val="Heading 3"/>
    <w:basedOn w:val="730"/>
    <w:uiPriority w:val="0"/>
    <w:qFormat/>
    <w:pPr>
      <w:jc w:val="left"/>
      <w:keepLines/>
      <w:keepNext/>
      <w:spacing w:before="360" w:after="120"/>
      <w:outlineLvl w:val="2"/>
    </w:pPr>
    <w:rPr>
      <w:rFonts w:ascii="宋体"/>
      <w:b/>
      <w:sz w:val="24"/>
      <w:szCs w:val="20"/>
      <w:u w:val="single"/>
    </w:rPr>
  </w:style>
  <w:style w:type="paragraph" w:styleId="733">
    <w:name w:val="Heading 4"/>
    <w:next w:val="730"/>
    <w:uiPriority w:val="9"/>
    <w:unhideWhenUsed/>
    <w:qFormat/>
    <w:pPr>
      <w:jc w:val="both"/>
      <w:keepLines/>
      <w:keepNext/>
      <w:spacing w:before="200" w:line="300" w:lineRule="auto"/>
      <w:widowControl w:val="off"/>
      <w:outlineLvl w:val="3"/>
    </w:pPr>
    <w:rPr>
      <w:rFonts w:ascii="Times New Roman" w:hAnsi="Times New Roman" w:eastAsia="黑体" w:cs="Times New Roman"/>
      <w:bCs/>
      <w:sz w:val="28"/>
      <w:szCs w:val="28"/>
      <w:lang w:val="en-US" w:eastAsia="zh-CN" w:bidi="ar-SA"/>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Body Text Indent"/>
    <w:basedOn w:val="730"/>
    <w:uiPriority w:val="0"/>
    <w:qFormat/>
    <w:pPr>
      <w:ind w:firstLine="570"/>
      <w:spacing w:line="360" w:lineRule="auto"/>
    </w:pPr>
    <w:rPr>
      <w:sz w:val="24"/>
      <w:szCs w:val="24"/>
    </w:rPr>
  </w:style>
  <w:style w:type="paragraph" w:styleId="737">
    <w:name w:val="toc 7"/>
    <w:basedOn w:val="730"/>
    <w:next w:val="730"/>
    <w:uiPriority w:val="39"/>
    <w:unhideWhenUsed/>
    <w:qFormat/>
    <w:pPr>
      <w:ind w:left="1701"/>
      <w:spacing w:after="57"/>
    </w:pPr>
  </w:style>
  <w:style w:type="paragraph" w:styleId="738">
    <w:name w:val="annotation text"/>
    <w:basedOn w:val="730"/>
    <w:uiPriority w:val="99"/>
    <w:unhideWhenUsed/>
    <w:qFormat/>
    <w:pPr>
      <w:jc w:val="left"/>
    </w:pPr>
  </w:style>
  <w:style w:type="paragraph" w:styleId="739">
    <w:name w:val="Body Text"/>
    <w:basedOn w:val="730"/>
    <w:next w:val="730"/>
    <w:uiPriority w:val="0"/>
    <w:qFormat/>
    <w:pPr>
      <w:spacing w:before="120" w:line="22" w:lineRule="atLeast"/>
      <w:tabs>
        <w:tab w:val="left" w:pos="567" w:leader="none"/>
      </w:tabs>
    </w:pPr>
    <w:rPr>
      <w:rFonts w:ascii="宋体" w:hAnsi="宋体"/>
      <w:sz w:val="24"/>
    </w:rPr>
  </w:style>
  <w:style w:type="paragraph" w:styleId="740">
    <w:name w:val="toc 5"/>
    <w:basedOn w:val="730"/>
    <w:next w:val="730"/>
    <w:uiPriority w:val="39"/>
    <w:unhideWhenUsed/>
    <w:qFormat/>
    <w:pPr>
      <w:ind w:left="1134"/>
      <w:spacing w:after="57"/>
    </w:pPr>
  </w:style>
  <w:style w:type="paragraph" w:styleId="741">
    <w:name w:val="toc 3"/>
    <w:basedOn w:val="730"/>
    <w:next w:val="730"/>
    <w:uiPriority w:val="39"/>
    <w:unhideWhenUsed/>
    <w:qFormat/>
    <w:pPr>
      <w:ind w:left="567"/>
      <w:spacing w:after="57"/>
    </w:pPr>
  </w:style>
  <w:style w:type="paragraph" w:styleId="742">
    <w:name w:val="Plain Text"/>
    <w:basedOn w:val="730"/>
    <w:uiPriority w:val="0"/>
    <w:qFormat/>
    <w:rPr>
      <w:rFonts w:hint="eastAsia" w:ascii="宋体" w:hAnsi="Courier New"/>
      <w:szCs w:val="20"/>
    </w:rPr>
  </w:style>
  <w:style w:type="paragraph" w:styleId="743">
    <w:name w:val="toc 8"/>
    <w:basedOn w:val="730"/>
    <w:next w:val="730"/>
    <w:uiPriority w:val="39"/>
    <w:unhideWhenUsed/>
    <w:qFormat/>
    <w:pPr>
      <w:ind w:left="1984"/>
      <w:spacing w:after="57"/>
    </w:pPr>
  </w:style>
  <w:style w:type="paragraph" w:styleId="744">
    <w:name w:val="endnote text"/>
    <w:basedOn w:val="730"/>
    <w:link w:val="765"/>
    <w:uiPriority w:val="99"/>
    <w:unhideWhenUsed/>
    <w:qFormat/>
    <w:rPr>
      <w:sz w:val="20"/>
    </w:rPr>
  </w:style>
  <w:style w:type="paragraph" w:styleId="745">
    <w:name w:val="Balloon Text"/>
    <w:basedOn w:val="730"/>
    <w:link w:val="1050"/>
    <w:uiPriority w:val="99"/>
    <w:semiHidden/>
    <w:unhideWhenUsed/>
    <w:qFormat/>
    <w:rPr>
      <w:sz w:val="18"/>
      <w:szCs w:val="18"/>
    </w:rPr>
  </w:style>
  <w:style w:type="paragraph" w:styleId="746">
    <w:name w:val="Footer"/>
    <w:basedOn w:val="730"/>
    <w:link w:val="766"/>
    <w:uiPriority w:val="99"/>
    <w:unhideWhenUsed/>
    <w:qFormat/>
    <w:pPr>
      <w:jc w:val="left"/>
      <w:tabs>
        <w:tab w:val="center" w:pos="4153" w:leader="none"/>
        <w:tab w:val="right" w:pos="8306" w:leader="none"/>
      </w:tabs>
    </w:pPr>
    <w:rPr>
      <w:sz w:val="18"/>
      <w:szCs w:val="18"/>
    </w:rPr>
  </w:style>
  <w:style w:type="paragraph" w:styleId="747">
    <w:name w:val="Header"/>
    <w:basedOn w:val="730"/>
    <w:link w:val="767"/>
    <w:uiPriority w:val="99"/>
    <w:unhideWhenUsed/>
    <w:qFormat/>
    <w:pPr>
      <w:jc w:val="center"/>
      <w:tabs>
        <w:tab w:val="center" w:pos="4153" w:leader="none"/>
        <w:tab w:val="right" w:pos="8306" w:leader="none"/>
      </w:tabs>
    </w:pPr>
    <w:rPr>
      <w:sz w:val="18"/>
      <w:szCs w:val="18"/>
    </w:rPr>
  </w:style>
  <w:style w:type="paragraph" w:styleId="748">
    <w:name w:val="toc 1"/>
    <w:basedOn w:val="730"/>
    <w:next w:val="730"/>
    <w:uiPriority w:val="39"/>
    <w:unhideWhenUsed/>
    <w:qFormat/>
    <w:pPr>
      <w:spacing w:after="57"/>
    </w:pPr>
  </w:style>
  <w:style w:type="paragraph" w:styleId="749">
    <w:name w:val="toc 4"/>
    <w:basedOn w:val="730"/>
    <w:next w:val="730"/>
    <w:uiPriority w:val="39"/>
    <w:unhideWhenUsed/>
    <w:qFormat/>
    <w:pPr>
      <w:ind w:left="850"/>
      <w:spacing w:after="57"/>
    </w:pPr>
  </w:style>
  <w:style w:type="paragraph" w:styleId="750">
    <w:name w:val="Subtitle"/>
    <w:basedOn w:val="730"/>
    <w:next w:val="730"/>
    <w:link w:val="768"/>
    <w:uiPriority w:val="11"/>
    <w:qFormat/>
    <w:pPr>
      <w:spacing w:before="200" w:after="200"/>
    </w:pPr>
    <w:rPr>
      <w:sz w:val="24"/>
      <w:szCs w:val="24"/>
    </w:rPr>
  </w:style>
  <w:style w:type="paragraph" w:styleId="751">
    <w:name w:val="footnote text"/>
    <w:basedOn w:val="730"/>
    <w:link w:val="769"/>
    <w:uiPriority w:val="99"/>
    <w:unhideWhenUsed/>
    <w:qFormat/>
    <w:pPr>
      <w:spacing w:after="40"/>
    </w:pPr>
    <w:rPr>
      <w:sz w:val="18"/>
    </w:rPr>
  </w:style>
  <w:style w:type="paragraph" w:styleId="752">
    <w:name w:val="toc 6"/>
    <w:basedOn w:val="730"/>
    <w:next w:val="730"/>
    <w:uiPriority w:val="39"/>
    <w:unhideWhenUsed/>
    <w:qFormat/>
    <w:pPr>
      <w:ind w:left="1417"/>
      <w:spacing w:after="57"/>
    </w:pPr>
  </w:style>
  <w:style w:type="paragraph" w:styleId="753">
    <w:name w:val="table of figures"/>
    <w:basedOn w:val="730"/>
    <w:next w:val="730"/>
    <w:uiPriority w:val="99"/>
    <w:unhideWhenUsed/>
    <w:qFormat/>
  </w:style>
  <w:style w:type="paragraph" w:styleId="754">
    <w:name w:val="toc 2"/>
    <w:basedOn w:val="730"/>
    <w:next w:val="730"/>
    <w:uiPriority w:val="39"/>
    <w:unhideWhenUsed/>
    <w:qFormat/>
    <w:pPr>
      <w:ind w:left="283"/>
      <w:spacing w:after="57"/>
    </w:pPr>
  </w:style>
  <w:style w:type="paragraph" w:styleId="755">
    <w:name w:val="toc 9"/>
    <w:basedOn w:val="730"/>
    <w:next w:val="730"/>
    <w:uiPriority w:val="39"/>
    <w:unhideWhenUsed/>
    <w:qFormat/>
    <w:pPr>
      <w:ind w:left="2268"/>
      <w:spacing w:after="57"/>
    </w:pPr>
  </w:style>
  <w:style w:type="paragraph" w:styleId="756">
    <w:name w:val="Normal (Web)"/>
    <w:basedOn w:val="730"/>
    <w:uiPriority w:val="0"/>
    <w:qFormat/>
    <w:pPr>
      <w:jc w:val="left"/>
      <w:spacing w:beforeAutospacing="1" w:afterAutospacing="1"/>
    </w:pPr>
    <w:rPr>
      <w:sz w:val="24"/>
    </w:rPr>
  </w:style>
  <w:style w:type="paragraph" w:styleId="757">
    <w:name w:val="Title"/>
    <w:basedOn w:val="730"/>
    <w:next w:val="730"/>
    <w:link w:val="770"/>
    <w:uiPriority w:val="10"/>
    <w:qFormat/>
    <w:pPr>
      <w:contextualSpacing/>
      <w:spacing w:before="300" w:after="200"/>
    </w:pPr>
    <w:rPr>
      <w:sz w:val="48"/>
      <w:szCs w:val="48"/>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Strong"/>
    <w:basedOn w:val="734"/>
    <w:uiPriority w:val="22"/>
    <w:qFormat/>
    <w:rPr>
      <w:b/>
    </w:rPr>
  </w:style>
  <w:style w:type="character" w:styleId="760">
    <w:name w:val="endnote reference"/>
    <w:uiPriority w:val="99"/>
    <w:unhideWhenUsed/>
    <w:qFormat/>
    <w:rPr>
      <w:vertAlign w:val="superscript"/>
    </w:rPr>
  </w:style>
  <w:style w:type="character" w:styleId="761">
    <w:name w:val="Emphasis"/>
    <w:uiPriority w:val="0"/>
    <w:qFormat/>
    <w:rPr>
      <w:i/>
    </w:rPr>
  </w:style>
  <w:style w:type="character" w:styleId="762">
    <w:name w:val="Hyperlink"/>
    <w:uiPriority w:val="99"/>
    <w:unhideWhenUsed/>
    <w:qFormat/>
    <w:rPr>
      <w:color w:val="0000ff"/>
      <w:u w:val="single"/>
    </w:rPr>
  </w:style>
  <w:style w:type="character" w:styleId="763">
    <w:name w:val="annotation reference"/>
    <w:basedOn w:val="734"/>
    <w:uiPriority w:val="99"/>
    <w:semiHidden/>
    <w:unhideWhenUsed/>
    <w:qFormat/>
    <w:rPr>
      <w:sz w:val="21"/>
      <w:szCs w:val="21"/>
    </w:rPr>
  </w:style>
  <w:style w:type="character" w:styleId="764">
    <w:name w:val="footnote reference"/>
    <w:uiPriority w:val="99"/>
    <w:unhideWhenUsed/>
    <w:qFormat/>
    <w:rPr>
      <w:vertAlign w:val="superscript"/>
    </w:rPr>
  </w:style>
  <w:style w:type="character" w:styleId="765" w:customStyle="1">
    <w:name w:val="尾注文本 字符"/>
    <w:link w:val="744"/>
    <w:uiPriority w:val="99"/>
    <w:qFormat/>
    <w:rPr>
      <w:sz w:val="20"/>
    </w:rPr>
  </w:style>
  <w:style w:type="character" w:styleId="766" w:customStyle="1">
    <w:name w:val="页脚 字符1"/>
    <w:link w:val="746"/>
    <w:uiPriority w:val="99"/>
    <w:qFormat/>
    <w:rPr>
      <w:sz w:val="18"/>
      <w:szCs w:val="18"/>
    </w:rPr>
  </w:style>
  <w:style w:type="character" w:styleId="767" w:customStyle="1">
    <w:name w:val="页眉 字符1"/>
    <w:link w:val="747"/>
    <w:uiPriority w:val="99"/>
    <w:qFormat/>
    <w:rPr>
      <w:sz w:val="18"/>
      <w:szCs w:val="18"/>
    </w:rPr>
  </w:style>
  <w:style w:type="character" w:styleId="768" w:customStyle="1">
    <w:name w:val="副标题 字符"/>
    <w:link w:val="750"/>
    <w:uiPriority w:val="11"/>
    <w:qFormat/>
    <w:rPr>
      <w:sz w:val="24"/>
      <w:szCs w:val="24"/>
    </w:rPr>
  </w:style>
  <w:style w:type="character" w:styleId="769" w:customStyle="1">
    <w:name w:val="脚注文本 字符"/>
    <w:link w:val="751"/>
    <w:uiPriority w:val="99"/>
    <w:qFormat/>
    <w:rPr>
      <w:sz w:val="18"/>
    </w:rPr>
  </w:style>
  <w:style w:type="character" w:styleId="770" w:customStyle="1">
    <w:name w:val="标题 字符"/>
    <w:link w:val="757"/>
    <w:uiPriority w:val="10"/>
    <w:qFormat/>
    <w:rPr>
      <w:sz w:val="48"/>
      <w:szCs w:val="48"/>
    </w:rPr>
  </w:style>
  <w:style w:type="paragraph" w:styleId="771" w:customStyle="1">
    <w:name w:val="标题 11"/>
    <w:basedOn w:val="730"/>
    <w:next w:val="730"/>
    <w:link w:val="772"/>
    <w:uiPriority w:val="9"/>
    <w:qFormat/>
    <w:pPr>
      <w:keepLines/>
      <w:keepNext/>
      <w:spacing w:before="480" w:after="200"/>
      <w:outlineLvl w:val="0"/>
    </w:pPr>
    <w:rPr>
      <w:rFonts w:ascii="Arial" w:hAnsi="Arial" w:eastAsia="Arial" w:cs="Arial"/>
      <w:sz w:val="40"/>
      <w:szCs w:val="40"/>
    </w:rPr>
  </w:style>
  <w:style w:type="character" w:styleId="772" w:customStyle="1">
    <w:name w:val="Heading 1 Char"/>
    <w:link w:val="771"/>
    <w:uiPriority w:val="9"/>
    <w:qFormat/>
    <w:rPr>
      <w:rFonts w:ascii="Arial" w:hAnsi="Arial" w:eastAsia="Arial" w:cs="Arial"/>
      <w:sz w:val="40"/>
      <w:szCs w:val="40"/>
    </w:rPr>
  </w:style>
  <w:style w:type="paragraph" w:styleId="773" w:customStyle="1">
    <w:name w:val="标题 21"/>
    <w:basedOn w:val="730"/>
    <w:next w:val="730"/>
    <w:link w:val="774"/>
    <w:uiPriority w:val="9"/>
    <w:unhideWhenUsed/>
    <w:qFormat/>
    <w:pPr>
      <w:keepLines/>
      <w:keepNext/>
      <w:spacing w:before="360" w:after="200"/>
      <w:outlineLvl w:val="1"/>
    </w:pPr>
    <w:rPr>
      <w:rFonts w:ascii="Arial" w:hAnsi="Arial" w:eastAsia="Arial" w:cs="Arial"/>
      <w:sz w:val="34"/>
    </w:rPr>
  </w:style>
  <w:style w:type="character" w:styleId="774" w:customStyle="1">
    <w:name w:val="Heading 2 Char"/>
    <w:link w:val="773"/>
    <w:uiPriority w:val="9"/>
    <w:qFormat/>
    <w:rPr>
      <w:rFonts w:ascii="Arial" w:hAnsi="Arial" w:eastAsia="Arial" w:cs="Arial"/>
      <w:sz w:val="34"/>
    </w:rPr>
  </w:style>
  <w:style w:type="paragraph" w:styleId="775" w:customStyle="1">
    <w:name w:val="标题 31"/>
    <w:basedOn w:val="730"/>
    <w:next w:val="730"/>
    <w:link w:val="776"/>
    <w:uiPriority w:val="9"/>
    <w:unhideWhenUsed/>
    <w:qFormat/>
    <w:pPr>
      <w:keepLines/>
      <w:keepNext/>
      <w:spacing w:before="320" w:after="200"/>
      <w:outlineLvl w:val="2"/>
    </w:pPr>
    <w:rPr>
      <w:rFonts w:ascii="Arial" w:hAnsi="Arial" w:eastAsia="Arial" w:cs="Arial"/>
      <w:sz w:val="30"/>
      <w:szCs w:val="30"/>
    </w:rPr>
  </w:style>
  <w:style w:type="character" w:styleId="776" w:customStyle="1">
    <w:name w:val="Heading 3 Char"/>
    <w:link w:val="775"/>
    <w:uiPriority w:val="9"/>
    <w:qFormat/>
    <w:rPr>
      <w:rFonts w:ascii="Arial" w:hAnsi="Arial" w:eastAsia="Arial" w:cs="Arial"/>
      <w:sz w:val="30"/>
      <w:szCs w:val="30"/>
    </w:rPr>
  </w:style>
  <w:style w:type="paragraph" w:styleId="777" w:customStyle="1">
    <w:name w:val="标题 41"/>
    <w:basedOn w:val="730"/>
    <w:next w:val="730"/>
    <w:link w:val="778"/>
    <w:uiPriority w:val="9"/>
    <w:unhideWhenUsed/>
    <w:qFormat/>
    <w:pPr>
      <w:keepLines/>
      <w:keepNext/>
      <w:spacing w:before="320" w:after="200"/>
      <w:outlineLvl w:val="3"/>
    </w:pPr>
    <w:rPr>
      <w:rFonts w:ascii="Arial" w:hAnsi="Arial" w:eastAsia="Arial" w:cs="Arial"/>
      <w:b/>
      <w:bCs/>
      <w:sz w:val="26"/>
      <w:szCs w:val="26"/>
    </w:rPr>
  </w:style>
  <w:style w:type="character" w:styleId="778" w:customStyle="1">
    <w:name w:val="Heading 4 Char"/>
    <w:link w:val="777"/>
    <w:uiPriority w:val="9"/>
    <w:qFormat/>
    <w:rPr>
      <w:rFonts w:ascii="Arial" w:hAnsi="Arial" w:eastAsia="Arial" w:cs="Arial"/>
      <w:b/>
      <w:bCs/>
      <w:sz w:val="26"/>
      <w:szCs w:val="26"/>
    </w:rPr>
  </w:style>
  <w:style w:type="paragraph" w:styleId="779" w:customStyle="1">
    <w:name w:val="标题 51"/>
    <w:basedOn w:val="730"/>
    <w:next w:val="730"/>
    <w:link w:val="780"/>
    <w:uiPriority w:val="9"/>
    <w:unhideWhenUsed/>
    <w:qFormat/>
    <w:pPr>
      <w:keepLines/>
      <w:keepNext/>
      <w:spacing w:before="320" w:after="200"/>
      <w:outlineLvl w:val="4"/>
    </w:pPr>
    <w:rPr>
      <w:rFonts w:ascii="Arial" w:hAnsi="Arial" w:eastAsia="Arial" w:cs="Arial"/>
      <w:b/>
      <w:bCs/>
      <w:sz w:val="24"/>
      <w:szCs w:val="24"/>
    </w:rPr>
  </w:style>
  <w:style w:type="character" w:styleId="780" w:customStyle="1">
    <w:name w:val="Heading 5 Char"/>
    <w:link w:val="779"/>
    <w:uiPriority w:val="9"/>
    <w:qFormat/>
    <w:rPr>
      <w:rFonts w:ascii="Arial" w:hAnsi="Arial" w:eastAsia="Arial" w:cs="Arial"/>
      <w:b/>
      <w:bCs/>
      <w:sz w:val="24"/>
      <w:szCs w:val="24"/>
    </w:rPr>
  </w:style>
  <w:style w:type="paragraph" w:styleId="781" w:customStyle="1">
    <w:name w:val="标题 61"/>
    <w:basedOn w:val="730"/>
    <w:next w:val="730"/>
    <w:link w:val="782"/>
    <w:uiPriority w:val="9"/>
    <w:unhideWhenUsed/>
    <w:qFormat/>
    <w:pPr>
      <w:keepLines/>
      <w:keepNext/>
      <w:spacing w:before="320" w:after="200"/>
      <w:outlineLvl w:val="5"/>
    </w:pPr>
    <w:rPr>
      <w:rFonts w:ascii="Arial" w:hAnsi="Arial" w:eastAsia="Arial" w:cs="Arial"/>
      <w:b/>
      <w:bCs/>
      <w:sz w:val="22"/>
      <w:szCs w:val="22"/>
    </w:rPr>
  </w:style>
  <w:style w:type="character" w:styleId="782" w:customStyle="1">
    <w:name w:val="Heading 6 Char"/>
    <w:link w:val="781"/>
    <w:uiPriority w:val="9"/>
    <w:qFormat/>
    <w:rPr>
      <w:rFonts w:ascii="Arial" w:hAnsi="Arial" w:eastAsia="Arial" w:cs="Arial"/>
      <w:b/>
      <w:bCs/>
      <w:sz w:val="22"/>
      <w:szCs w:val="22"/>
    </w:rPr>
  </w:style>
  <w:style w:type="paragraph" w:styleId="783" w:customStyle="1">
    <w:name w:val="标题 71"/>
    <w:basedOn w:val="730"/>
    <w:next w:val="730"/>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customStyle="1">
    <w:name w:val="Heading 7 Char"/>
    <w:link w:val="783"/>
    <w:uiPriority w:val="9"/>
    <w:qFormat/>
    <w:rPr>
      <w:rFonts w:ascii="Arial" w:hAnsi="Arial" w:eastAsia="Arial" w:cs="Arial"/>
      <w:b/>
      <w:bCs/>
      <w:i/>
      <w:iCs/>
      <w:sz w:val="22"/>
      <w:szCs w:val="22"/>
    </w:rPr>
  </w:style>
  <w:style w:type="paragraph" w:styleId="785" w:customStyle="1">
    <w:name w:val="标题 81"/>
    <w:basedOn w:val="730"/>
    <w:next w:val="730"/>
    <w:link w:val="786"/>
    <w:uiPriority w:val="9"/>
    <w:unhideWhenUsed/>
    <w:qFormat/>
    <w:pPr>
      <w:keepLines/>
      <w:keepNext/>
      <w:spacing w:before="320" w:after="200"/>
      <w:outlineLvl w:val="7"/>
    </w:pPr>
    <w:rPr>
      <w:rFonts w:ascii="Arial" w:hAnsi="Arial" w:eastAsia="Arial" w:cs="Arial"/>
      <w:i/>
      <w:iCs/>
      <w:sz w:val="22"/>
      <w:szCs w:val="22"/>
    </w:rPr>
  </w:style>
  <w:style w:type="character" w:styleId="786" w:customStyle="1">
    <w:name w:val="Heading 8 Char"/>
    <w:link w:val="785"/>
    <w:uiPriority w:val="9"/>
    <w:qFormat/>
    <w:rPr>
      <w:rFonts w:ascii="Arial" w:hAnsi="Arial" w:eastAsia="Arial" w:cs="Arial"/>
      <w:i/>
      <w:iCs/>
      <w:sz w:val="22"/>
      <w:szCs w:val="22"/>
    </w:rPr>
  </w:style>
  <w:style w:type="paragraph" w:styleId="787" w:customStyle="1">
    <w:name w:val="标题 91"/>
    <w:basedOn w:val="730"/>
    <w:next w:val="730"/>
    <w:link w:val="788"/>
    <w:uiPriority w:val="9"/>
    <w:unhideWhenUsed/>
    <w:qFormat/>
    <w:pPr>
      <w:keepLines/>
      <w:keepNext/>
      <w:spacing w:before="320" w:after="200"/>
      <w:outlineLvl w:val="8"/>
    </w:pPr>
    <w:rPr>
      <w:rFonts w:ascii="Arial" w:hAnsi="Arial" w:eastAsia="Arial" w:cs="Arial"/>
      <w:i/>
      <w:iCs/>
    </w:rPr>
  </w:style>
  <w:style w:type="character" w:styleId="788" w:customStyle="1">
    <w:name w:val="Heading 9 Char"/>
    <w:link w:val="787"/>
    <w:uiPriority w:val="9"/>
    <w:qFormat/>
    <w:rPr>
      <w:rFonts w:ascii="Arial" w:hAnsi="Arial" w:eastAsia="Arial" w:cs="Arial"/>
      <w:i/>
      <w:iCs/>
      <w:sz w:val="21"/>
      <w:szCs w:val="21"/>
    </w:rPr>
  </w:style>
  <w:style w:type="paragraph" w:styleId="789">
    <w:name w:val="List Paragraph"/>
    <w:basedOn w:val="730"/>
    <w:uiPriority w:val="34"/>
    <w:qFormat/>
    <w:pPr>
      <w:contextualSpacing/>
      <w:ind w:left="720"/>
    </w:pPr>
  </w:style>
  <w:style w:type="paragraph" w:styleId="790">
    <w:name w:val="No Spacing"/>
    <w:uiPriority w:val="1"/>
    <w:qFormat/>
    <w:rPr>
      <w:rFonts w:ascii="Times New Roman" w:hAnsi="Times New Roman" w:eastAsia="宋体" w:cs="Times New Roman"/>
      <w:lang w:val="en-US" w:eastAsia="zh-CN" w:bidi="ar-SA"/>
    </w:rPr>
  </w:style>
  <w:style w:type="paragraph" w:styleId="791">
    <w:name w:val="Quote"/>
    <w:basedOn w:val="730"/>
    <w:next w:val="730"/>
    <w:link w:val="792"/>
    <w:uiPriority w:val="29"/>
    <w:qFormat/>
    <w:pPr>
      <w:ind w:left="720" w:right="720"/>
    </w:pPr>
    <w:rPr>
      <w:i/>
    </w:rPr>
  </w:style>
  <w:style w:type="character" w:styleId="792" w:customStyle="1">
    <w:name w:val="引用 字符"/>
    <w:link w:val="791"/>
    <w:uiPriority w:val="29"/>
    <w:qFormat/>
    <w:rPr>
      <w:i/>
    </w:rPr>
  </w:style>
  <w:style w:type="paragraph" w:styleId="793">
    <w:name w:val="Intense Quote"/>
    <w:basedOn w:val="730"/>
    <w:next w:val="730"/>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字符"/>
    <w:link w:val="793"/>
    <w:uiPriority w:val="30"/>
    <w:qFormat/>
    <w:rPr>
      <w:i/>
    </w:rPr>
  </w:style>
  <w:style w:type="paragraph" w:styleId="795" w:customStyle="1">
    <w:name w:val="页眉1"/>
    <w:basedOn w:val="730"/>
    <w:link w:val="796"/>
    <w:uiPriority w:val="99"/>
    <w:unhideWhenUsed/>
    <w:qFormat/>
    <w:pPr>
      <w:tabs>
        <w:tab w:val="center" w:pos="7143" w:leader="none"/>
        <w:tab w:val="right" w:pos="14287" w:leader="none"/>
      </w:tabs>
    </w:pPr>
  </w:style>
  <w:style w:type="character" w:styleId="796" w:customStyle="1">
    <w:name w:val="Header Char"/>
    <w:link w:val="795"/>
    <w:uiPriority w:val="99"/>
    <w:qFormat/>
  </w:style>
  <w:style w:type="paragraph" w:styleId="797" w:customStyle="1">
    <w:name w:val="页脚1"/>
    <w:basedOn w:val="730"/>
    <w:link w:val="799"/>
    <w:uiPriority w:val="99"/>
    <w:unhideWhenUsed/>
    <w:qFormat/>
    <w:pPr>
      <w:tabs>
        <w:tab w:val="center" w:pos="7143" w:leader="none"/>
        <w:tab w:val="right" w:pos="14287" w:leader="none"/>
      </w:tabs>
    </w:pPr>
  </w:style>
  <w:style w:type="character" w:styleId="798" w:customStyle="1">
    <w:name w:val="Caption Char"/>
    <w:uiPriority w:val="99"/>
    <w:qFormat/>
  </w:style>
  <w:style w:type="character" w:styleId="799" w:customStyle="1">
    <w:name w:val="Footer Char"/>
    <w:link w:val="797"/>
    <w:uiPriority w:val="99"/>
    <w:qFormat/>
  </w:style>
  <w:style w:type="paragraph" w:styleId="800" w:customStyle="1">
    <w:name w:val="题注1"/>
    <w:basedOn w:val="730"/>
    <w:next w:val="730"/>
    <w:uiPriority w:val="35"/>
    <w:unhideWhenUsed/>
    <w:qFormat/>
    <w:pPr>
      <w:spacing w:line="276" w:lineRule="auto"/>
    </w:pPr>
    <w:rPr>
      <w:b/>
      <w:bCs/>
      <w:color w:val="4f81bd"/>
      <w:sz w:val="18"/>
      <w:szCs w:val="18"/>
    </w:rPr>
  </w:style>
  <w:style w:type="table" w:styleId="801"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customStyle="1">
    <w:name w:val="_Style 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customStyle="1">
    <w:name w:val="_Style 66"/>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804" w:customStyle="1">
    <w:name w:val="_Style 67"/>
    <w:uiPriority w:val="99"/>
    <w:qFormat/>
    <w:tblPr>
      <w:tblCellMar>
        <w:left w:w="0" w:type="dxa"/>
        <w:top w:w="0" w:type="dxa"/>
        <w:right w:w="0" w:type="dxa"/>
        <w:bottom w:w="0" w:type="dxa"/>
      </w:tblCellMar>
    </w:tblPr>
  </w:style>
  <w:style w:type="table" w:styleId="805" w:customStyle="1">
    <w:name w:val="_Style 68"/>
    <w:uiPriority w:val="99"/>
    <w:qFormat/>
    <w:tblPr>
      <w:tblCellMar>
        <w:left w:w="0" w:type="dxa"/>
        <w:top w:w="0" w:type="dxa"/>
        <w:right w:w="0" w:type="dxa"/>
        <w:bottom w:w="0" w:type="dxa"/>
      </w:tblCellMar>
    </w:tblPr>
  </w:style>
  <w:style w:type="table" w:styleId="806" w:customStyle="1">
    <w:name w:val="_Style 69"/>
    <w:uiPriority w:val="99"/>
    <w:qFormat/>
    <w:tblPr>
      <w:tblCellMar>
        <w:left w:w="0" w:type="dxa"/>
        <w:top w:w="0" w:type="dxa"/>
        <w:right w:w="0" w:type="dxa"/>
        <w:bottom w:w="0" w:type="dxa"/>
      </w:tblCellMar>
    </w:tblPr>
  </w:style>
  <w:style w:type="table" w:styleId="807" w:customStyle="1">
    <w:name w:val="_Style 7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8"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9"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0"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1"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2"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3"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4" w:customStyle="1">
    <w:name w:val="_Style 77"/>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5"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6"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7"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8"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9"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0"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1" w:customStyle="1">
    <w:name w:val="_Style 8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2"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3"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4"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5"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6"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7"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8" w:customStyle="1">
    <w:name w:val="_Style 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9"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0"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1"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2"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3"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4"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5" w:customStyle="1">
    <w:name w:val="_Style 9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6"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7"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8"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9"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0"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1"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2" w:customStyle="1">
    <w:name w:val="_Style 10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3"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4"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5"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6"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7"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8"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9" w:customStyle="1">
    <w:name w:val="_Style 11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0"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1"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2"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3"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4"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5"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6" w:customStyle="1">
    <w:name w:val="_Style 119"/>
    <w:uiPriority w:val="99"/>
    <w:qFormat/>
    <w:tblPr>
      <w:tblCellMar>
        <w:left w:w="0" w:type="dxa"/>
        <w:top w:w="0" w:type="dxa"/>
        <w:right w:w="0" w:type="dxa"/>
        <w:bottom w:w="0" w:type="dxa"/>
      </w:tblCellMar>
    </w:tblPr>
  </w:style>
  <w:style w:type="table" w:styleId="857" w:customStyle="1">
    <w:name w:val="List Table 1 Light - Accent 1"/>
    <w:uiPriority w:val="99"/>
    <w:qFormat/>
    <w:tblPr>
      <w:tblCellMar>
        <w:left w:w="0" w:type="dxa"/>
        <w:top w:w="0" w:type="dxa"/>
        <w:right w:w="0" w:type="dxa"/>
        <w:bottom w:w="0" w:type="dxa"/>
      </w:tblCellMar>
    </w:tblPr>
  </w:style>
  <w:style w:type="table" w:styleId="858" w:customStyle="1">
    <w:name w:val="List Table 1 Light - Accent 2"/>
    <w:uiPriority w:val="99"/>
    <w:qFormat/>
    <w:tblPr>
      <w:tblCellMar>
        <w:left w:w="0" w:type="dxa"/>
        <w:top w:w="0" w:type="dxa"/>
        <w:right w:w="0" w:type="dxa"/>
        <w:bottom w:w="0" w:type="dxa"/>
      </w:tblCellMar>
    </w:tblPr>
  </w:style>
  <w:style w:type="table" w:styleId="859" w:customStyle="1">
    <w:name w:val="List Table 1 Light - Accent 3"/>
    <w:uiPriority w:val="99"/>
    <w:qFormat/>
    <w:tblPr>
      <w:tblCellMar>
        <w:left w:w="0" w:type="dxa"/>
        <w:top w:w="0" w:type="dxa"/>
        <w:right w:w="0" w:type="dxa"/>
        <w:bottom w:w="0" w:type="dxa"/>
      </w:tblCellMar>
    </w:tblPr>
  </w:style>
  <w:style w:type="table" w:styleId="860" w:customStyle="1">
    <w:name w:val="List Table 1 Light - Accent 4"/>
    <w:uiPriority w:val="99"/>
    <w:qFormat/>
    <w:tblPr>
      <w:tblCellMar>
        <w:left w:w="0" w:type="dxa"/>
        <w:top w:w="0" w:type="dxa"/>
        <w:right w:w="0" w:type="dxa"/>
        <w:bottom w:w="0" w:type="dxa"/>
      </w:tblCellMar>
    </w:tblPr>
  </w:style>
  <w:style w:type="table" w:styleId="861" w:customStyle="1">
    <w:name w:val="List Table 1 Light - Accent 5"/>
    <w:uiPriority w:val="99"/>
    <w:qFormat/>
    <w:tblPr>
      <w:tblCellMar>
        <w:left w:w="0" w:type="dxa"/>
        <w:top w:w="0" w:type="dxa"/>
        <w:right w:w="0" w:type="dxa"/>
        <w:bottom w:w="0" w:type="dxa"/>
      </w:tblCellMar>
    </w:tblPr>
  </w:style>
  <w:style w:type="table" w:styleId="862" w:customStyle="1">
    <w:name w:val="List Table 1 Light - Accent 6"/>
    <w:uiPriority w:val="99"/>
    <w:qFormat/>
    <w:tblPr>
      <w:tblCellMar>
        <w:left w:w="0" w:type="dxa"/>
        <w:top w:w="0" w:type="dxa"/>
        <w:right w:w="0" w:type="dxa"/>
        <w:bottom w:w="0" w:type="dxa"/>
      </w:tblCellMar>
    </w:tblPr>
  </w:style>
  <w:style w:type="table" w:styleId="863" w:customStyle="1">
    <w:name w:val="_Style 12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4"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5"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6"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7"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8"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9"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70" w:customStyle="1">
    <w:name w:val="_Style 13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1"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2"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3"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4"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5"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6"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7" w:customStyle="1">
    <w:name w:val="_Style 1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8"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9"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0"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1"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2"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3"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4" w:customStyle="1">
    <w:name w:val="_Style 147"/>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5"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6"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7"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8"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9"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90"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91" w:customStyle="1">
    <w:name w:val="_Style 15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2"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3"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4"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5"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6"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7"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8" w:customStyle="1">
    <w:name w:val="_Style 161"/>
    <w:uiPriority w:val="99"/>
    <w:qFormat/>
    <w:tblPr>
      <w:tblBorders>
        <w:right w:val="single" w:color="000000" w:sz="4" w:space="0"/>
      </w:tblBorders>
      <w:tblCellMar>
        <w:left w:w="0" w:type="dxa"/>
        <w:top w:w="0" w:type="dxa"/>
        <w:right w:w="0" w:type="dxa"/>
        <w:bottom w:w="0" w:type="dxa"/>
      </w:tblCellMar>
    </w:tblPr>
  </w:style>
  <w:style w:type="table" w:styleId="899" w:customStyle="1">
    <w:name w:val="List Table 7 Colorful - Accent 1"/>
    <w:uiPriority w:val="99"/>
    <w:qFormat/>
    <w:tblPr>
      <w:tblBorders>
        <w:right w:val="single" w:color="000000" w:sz="4" w:space="0"/>
      </w:tblBorders>
      <w:tblCellMar>
        <w:left w:w="0" w:type="dxa"/>
        <w:top w:w="0" w:type="dxa"/>
        <w:right w:w="0" w:type="dxa"/>
        <w:bottom w:w="0" w:type="dxa"/>
      </w:tblCellMar>
    </w:tblPr>
  </w:style>
  <w:style w:type="table" w:styleId="900" w:customStyle="1">
    <w:name w:val="List Table 7 Colorful - Accent 2"/>
    <w:uiPriority w:val="99"/>
    <w:qFormat/>
    <w:tblPr>
      <w:tblBorders>
        <w:right w:val="single" w:color="000000" w:sz="4" w:space="0"/>
      </w:tblBorders>
      <w:tblCellMar>
        <w:left w:w="0" w:type="dxa"/>
        <w:top w:w="0" w:type="dxa"/>
        <w:right w:w="0" w:type="dxa"/>
        <w:bottom w:w="0" w:type="dxa"/>
      </w:tblCellMar>
    </w:tblPr>
  </w:style>
  <w:style w:type="table" w:styleId="901" w:customStyle="1">
    <w:name w:val="List Table 7 Colorful - Accent 3"/>
    <w:uiPriority w:val="99"/>
    <w:qFormat/>
    <w:tblPr>
      <w:tblBorders>
        <w:right w:val="single" w:color="000000" w:sz="4" w:space="0"/>
      </w:tblBorders>
      <w:tblCellMar>
        <w:left w:w="0" w:type="dxa"/>
        <w:top w:w="0" w:type="dxa"/>
        <w:right w:w="0" w:type="dxa"/>
        <w:bottom w:w="0" w:type="dxa"/>
      </w:tblCellMar>
    </w:tblPr>
  </w:style>
  <w:style w:type="table" w:styleId="902" w:customStyle="1">
    <w:name w:val="List Table 7 Colorful - Accent 4"/>
    <w:uiPriority w:val="99"/>
    <w:qFormat/>
    <w:tblPr>
      <w:tblBorders>
        <w:right w:val="single" w:color="000000" w:sz="4" w:space="0"/>
      </w:tblBorders>
      <w:tblCellMar>
        <w:left w:w="0" w:type="dxa"/>
        <w:top w:w="0" w:type="dxa"/>
        <w:right w:w="0" w:type="dxa"/>
        <w:bottom w:w="0" w:type="dxa"/>
      </w:tblCellMar>
    </w:tblPr>
  </w:style>
  <w:style w:type="table" w:styleId="903" w:customStyle="1">
    <w:name w:val="List Table 7 Colorful - Accent 5"/>
    <w:uiPriority w:val="99"/>
    <w:qFormat/>
    <w:tblPr>
      <w:tblBorders>
        <w:right w:val="single" w:color="000000" w:sz="4" w:space="0"/>
      </w:tblBorders>
      <w:tblCellMar>
        <w:left w:w="0" w:type="dxa"/>
        <w:top w:w="0" w:type="dxa"/>
        <w:right w:w="0" w:type="dxa"/>
        <w:bottom w:w="0" w:type="dxa"/>
      </w:tblCellMar>
    </w:tblPr>
  </w:style>
  <w:style w:type="table" w:styleId="904" w:customStyle="1">
    <w:name w:val="List Table 7 Colorful - Accent 6"/>
    <w:uiPriority w:val="99"/>
    <w:qFormat/>
    <w:tblPr>
      <w:tblBorders>
        <w:right w:val="single" w:color="000000" w:sz="4" w:space="0"/>
      </w:tblBorders>
      <w:tblCellMar>
        <w:left w:w="0" w:type="dxa"/>
        <w:top w:w="0" w:type="dxa"/>
        <w:right w:w="0" w:type="dxa"/>
        <w:bottom w:w="0" w:type="dxa"/>
      </w:tblCellMar>
    </w:tblPr>
  </w:style>
  <w:style w:type="table" w:styleId="905" w:customStyle="1">
    <w:name w:val="Lined - Accent"/>
    <w:uiPriority w:val="99"/>
    <w:qFormat/>
    <w:rPr>
      <w:color w:val="404040"/>
    </w:rPr>
    <w:tblPr>
      <w:tblCellMar>
        <w:left w:w="0" w:type="dxa"/>
        <w:top w:w="0" w:type="dxa"/>
        <w:right w:w="0" w:type="dxa"/>
        <w:bottom w:w="0" w:type="dxa"/>
      </w:tblCellMar>
    </w:tblPr>
  </w:style>
  <w:style w:type="table" w:styleId="906" w:customStyle="1">
    <w:name w:val="Lined - Accent 1"/>
    <w:uiPriority w:val="99"/>
    <w:qFormat/>
    <w:rPr>
      <w:color w:val="404040"/>
    </w:rPr>
    <w:tblPr>
      <w:tblCellMar>
        <w:left w:w="0" w:type="dxa"/>
        <w:top w:w="0" w:type="dxa"/>
        <w:right w:w="0" w:type="dxa"/>
        <w:bottom w:w="0" w:type="dxa"/>
      </w:tblCellMar>
    </w:tblPr>
  </w:style>
  <w:style w:type="table" w:styleId="907" w:customStyle="1">
    <w:name w:val="Lined - Accent 2"/>
    <w:uiPriority w:val="99"/>
    <w:qFormat/>
    <w:rPr>
      <w:color w:val="404040"/>
    </w:rPr>
    <w:tblPr>
      <w:tblCellMar>
        <w:left w:w="0" w:type="dxa"/>
        <w:top w:w="0" w:type="dxa"/>
        <w:right w:w="0" w:type="dxa"/>
        <w:bottom w:w="0" w:type="dxa"/>
      </w:tblCellMar>
    </w:tblPr>
  </w:style>
  <w:style w:type="table" w:styleId="908" w:customStyle="1">
    <w:name w:val="Lined - Accent 3"/>
    <w:uiPriority w:val="99"/>
    <w:qFormat/>
    <w:rPr>
      <w:color w:val="404040"/>
    </w:rPr>
    <w:tblPr>
      <w:tblCellMar>
        <w:left w:w="0" w:type="dxa"/>
        <w:top w:w="0" w:type="dxa"/>
        <w:right w:w="0" w:type="dxa"/>
        <w:bottom w:w="0" w:type="dxa"/>
      </w:tblCellMar>
    </w:tblPr>
  </w:style>
  <w:style w:type="table" w:styleId="909" w:customStyle="1">
    <w:name w:val="Lined - Accent 4"/>
    <w:uiPriority w:val="99"/>
    <w:qFormat/>
    <w:rPr>
      <w:color w:val="404040"/>
    </w:rPr>
    <w:tblPr>
      <w:tblCellMar>
        <w:left w:w="0" w:type="dxa"/>
        <w:top w:w="0" w:type="dxa"/>
        <w:right w:w="0" w:type="dxa"/>
        <w:bottom w:w="0" w:type="dxa"/>
      </w:tblCellMar>
    </w:tblPr>
  </w:style>
  <w:style w:type="table" w:styleId="910" w:customStyle="1">
    <w:name w:val="Lined - Accent 5"/>
    <w:uiPriority w:val="99"/>
    <w:qFormat/>
    <w:rPr>
      <w:color w:val="404040"/>
    </w:rPr>
    <w:tblPr>
      <w:tblCellMar>
        <w:left w:w="0" w:type="dxa"/>
        <w:top w:w="0" w:type="dxa"/>
        <w:right w:w="0" w:type="dxa"/>
        <w:bottom w:w="0" w:type="dxa"/>
      </w:tblCellMar>
    </w:tblPr>
  </w:style>
  <w:style w:type="table" w:styleId="911" w:customStyle="1">
    <w:name w:val="Lined - Accent 6"/>
    <w:uiPriority w:val="99"/>
    <w:qFormat/>
    <w:rPr>
      <w:color w:val="404040"/>
    </w:rPr>
    <w:tblPr>
      <w:tblCellMar>
        <w:left w:w="0" w:type="dxa"/>
        <w:top w:w="0" w:type="dxa"/>
        <w:right w:w="0" w:type="dxa"/>
        <w:bottom w:w="0" w:type="dxa"/>
      </w:tblCellMar>
    </w:tblPr>
  </w:style>
  <w:style w:type="table" w:styleId="912"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3"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4"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5"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6"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7"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8"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9"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0"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1"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2"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3"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4"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5"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26" w:customStyle="1">
    <w:name w:val="_Style 189"/>
    <w:uiPriority w:val="39"/>
    <w:qFormat/>
    <w:rPr>
      <w:rFonts w:ascii="Times New Roman" w:hAnsi="Times New Roman" w:eastAsia="宋体" w:cs="Times New Roman"/>
      <w:lang w:val="en-US" w:eastAsia="zh-CN" w:bidi="ar-SA"/>
    </w:rPr>
  </w:style>
  <w:style w:type="paragraph" w:styleId="927" w:customStyle="1">
    <w:name w:val="标题 111"/>
    <w:basedOn w:val="730"/>
    <w:next w:val="730"/>
    <w:link w:val="928"/>
    <w:uiPriority w:val="0"/>
    <w:qFormat/>
    <w:pPr>
      <w:jc w:val="center"/>
      <w:keepNext/>
      <w:outlineLvl w:val="0"/>
    </w:pPr>
    <w:rPr>
      <w:rFonts w:ascii="楷体_GB2312" w:eastAsia="楷体_GB2312"/>
      <w:sz w:val="28"/>
      <w:szCs w:val="28"/>
    </w:rPr>
  </w:style>
  <w:style w:type="character" w:styleId="928" w:customStyle="1">
    <w:name w:val="标题 1 字符"/>
    <w:link w:val="927"/>
    <w:uiPriority w:val="0"/>
    <w:qFormat/>
    <w:rPr>
      <w:rFonts w:ascii="楷体_GB2312" w:hAnsi="Times New Roman" w:eastAsia="楷体_GB2312" w:cs="Times New Roman"/>
      <w:sz w:val="28"/>
      <w:szCs w:val="28"/>
    </w:rPr>
  </w:style>
  <w:style w:type="paragraph" w:styleId="929" w:customStyle="1">
    <w:name w:val="标题 211"/>
    <w:basedOn w:val="730"/>
    <w:next w:val="930"/>
    <w:link w:val="93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0" w:customStyle="1">
    <w:name w:val="正文缩进1"/>
    <w:basedOn w:val="730"/>
    <w:link w:val="932"/>
    <w:uiPriority w:val="99"/>
    <w:qFormat/>
    <w:pPr>
      <w:ind w:firstLine="420"/>
    </w:pPr>
  </w:style>
  <w:style w:type="character" w:styleId="931" w:customStyle="1">
    <w:name w:val="标题 2 字符"/>
    <w:link w:val="929"/>
    <w:uiPriority w:val="0"/>
    <w:qFormat/>
    <w:rPr>
      <w:rFonts w:ascii="Arial" w:hAnsi="Arial" w:eastAsia="幼圆" w:cs="Arial"/>
      <w:b/>
      <w:bCs/>
      <w:sz w:val="44"/>
      <w:szCs w:val="44"/>
    </w:rPr>
  </w:style>
  <w:style w:type="character" w:styleId="932" w:customStyle="1">
    <w:name w:val="正文缩进 字符"/>
    <w:link w:val="930"/>
    <w:uiPriority w:val="0"/>
    <w:qFormat/>
    <w:rPr>
      <w:rFonts w:ascii="Times New Roman" w:hAnsi="Times New Roman" w:eastAsia="宋体" w:cs="Times New Roman"/>
      <w:szCs w:val="21"/>
    </w:rPr>
  </w:style>
  <w:style w:type="paragraph" w:styleId="933" w:customStyle="1">
    <w:name w:val="标题 311"/>
    <w:basedOn w:val="730"/>
    <w:next w:val="930"/>
    <w:link w:val="934"/>
    <w:uiPriority w:val="0"/>
    <w:qFormat/>
    <w:pPr>
      <w:keepLines/>
      <w:keepNext/>
      <w:spacing w:before="260" w:after="260" w:line="416" w:lineRule="auto"/>
      <w:outlineLvl w:val="2"/>
    </w:pPr>
    <w:rPr>
      <w:b/>
      <w:bCs/>
      <w:sz w:val="32"/>
      <w:szCs w:val="32"/>
    </w:rPr>
  </w:style>
  <w:style w:type="character" w:styleId="934" w:customStyle="1">
    <w:name w:val="标题 3 字符"/>
    <w:link w:val="933"/>
    <w:uiPriority w:val="0"/>
    <w:qFormat/>
    <w:rPr>
      <w:rFonts w:ascii="Times New Roman" w:hAnsi="Times New Roman" w:eastAsia="宋体" w:cs="Times New Roman"/>
      <w:b/>
      <w:bCs/>
      <w:sz w:val="32"/>
      <w:szCs w:val="32"/>
    </w:rPr>
  </w:style>
  <w:style w:type="paragraph" w:styleId="935" w:customStyle="1">
    <w:name w:val="标题 411"/>
    <w:basedOn w:val="730"/>
    <w:next w:val="930"/>
    <w:link w:val="936"/>
    <w:uiPriority w:val="0"/>
    <w:qFormat/>
    <w:pPr>
      <w:keepLines/>
      <w:keepNext/>
      <w:spacing w:before="280" w:after="290" w:line="376" w:lineRule="auto"/>
      <w:outlineLvl w:val="3"/>
    </w:pPr>
    <w:rPr>
      <w:rFonts w:ascii="Arial" w:hAnsi="Arial" w:eastAsia="黑体" w:cs="Arial"/>
      <w:b/>
      <w:bCs/>
      <w:sz w:val="28"/>
      <w:szCs w:val="28"/>
    </w:rPr>
  </w:style>
  <w:style w:type="character" w:styleId="936" w:customStyle="1">
    <w:name w:val="标题 4 字符"/>
    <w:link w:val="935"/>
    <w:uiPriority w:val="0"/>
    <w:qFormat/>
    <w:rPr>
      <w:rFonts w:ascii="Arial" w:hAnsi="Arial" w:eastAsia="黑体" w:cs="Arial"/>
      <w:b/>
      <w:bCs/>
      <w:sz w:val="28"/>
      <w:szCs w:val="28"/>
    </w:rPr>
  </w:style>
  <w:style w:type="paragraph" w:styleId="937" w:customStyle="1">
    <w:name w:val="标题 511"/>
    <w:basedOn w:val="730"/>
    <w:next w:val="930"/>
    <w:link w:val="938"/>
    <w:uiPriority w:val="0"/>
    <w:qFormat/>
    <w:pPr>
      <w:keepNext/>
      <w:outlineLvl w:val="4"/>
    </w:pPr>
    <w:rPr>
      <w:rFonts w:ascii="宋体"/>
      <w:color w:val="000000"/>
      <w:sz w:val="28"/>
      <w:szCs w:val="28"/>
    </w:rPr>
  </w:style>
  <w:style w:type="character" w:styleId="938" w:customStyle="1">
    <w:name w:val="标题 5 字符"/>
    <w:link w:val="937"/>
    <w:uiPriority w:val="0"/>
    <w:qFormat/>
    <w:rPr>
      <w:rFonts w:ascii="宋体" w:hAnsi="Times New Roman" w:eastAsia="宋体" w:cs="Times New Roman"/>
      <w:color w:val="000000"/>
      <w:sz w:val="28"/>
      <w:szCs w:val="28"/>
    </w:rPr>
  </w:style>
  <w:style w:type="paragraph" w:styleId="939" w:customStyle="1">
    <w:name w:val="标题 611"/>
    <w:basedOn w:val="730"/>
    <w:next w:val="730"/>
    <w:link w:val="940"/>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40" w:customStyle="1">
    <w:name w:val="标题 6 字符"/>
    <w:link w:val="939"/>
    <w:uiPriority w:val="0"/>
    <w:qFormat/>
    <w:rPr>
      <w:rFonts w:ascii="Arial" w:hAnsi="Arial" w:eastAsia="黑体" w:cs="Times New Roman"/>
      <w:b/>
      <w:bCs/>
      <w:sz w:val="24"/>
      <w:szCs w:val="24"/>
    </w:rPr>
  </w:style>
  <w:style w:type="paragraph" w:styleId="941" w:customStyle="1">
    <w:name w:val="标题 711"/>
    <w:basedOn w:val="730"/>
    <w:next w:val="730"/>
    <w:link w:val="942"/>
    <w:uiPriority w:val="0"/>
    <w:qFormat/>
    <w:pPr>
      <w:numPr>
        <w:ilvl w:val="6"/>
        <w:numId w:val="1"/>
      </w:numPr>
      <w:keepLines/>
      <w:keepNext/>
      <w:spacing w:before="240" w:after="64" w:line="320" w:lineRule="auto"/>
      <w:outlineLvl w:val="6"/>
    </w:pPr>
    <w:rPr>
      <w:b/>
      <w:bCs/>
      <w:sz w:val="24"/>
      <w:szCs w:val="24"/>
    </w:rPr>
  </w:style>
  <w:style w:type="character" w:styleId="942" w:customStyle="1">
    <w:name w:val="标题 7 字符"/>
    <w:link w:val="941"/>
    <w:uiPriority w:val="0"/>
    <w:qFormat/>
    <w:rPr>
      <w:rFonts w:ascii="Times New Roman" w:hAnsi="Times New Roman" w:eastAsia="宋体" w:cs="Times New Roman"/>
      <w:b/>
      <w:bCs/>
      <w:sz w:val="24"/>
      <w:szCs w:val="24"/>
    </w:rPr>
  </w:style>
  <w:style w:type="paragraph" w:styleId="943" w:customStyle="1">
    <w:name w:val="标题 811"/>
    <w:basedOn w:val="730"/>
    <w:next w:val="730"/>
    <w:link w:val="944"/>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44" w:customStyle="1">
    <w:name w:val="标题 8 字符"/>
    <w:link w:val="943"/>
    <w:uiPriority w:val="0"/>
    <w:qFormat/>
    <w:rPr>
      <w:rFonts w:ascii="Arial" w:hAnsi="Arial" w:eastAsia="黑体" w:cs="Times New Roman"/>
      <w:sz w:val="24"/>
      <w:szCs w:val="24"/>
    </w:rPr>
  </w:style>
  <w:style w:type="paragraph" w:styleId="945" w:customStyle="1">
    <w:name w:val="标题 911"/>
    <w:basedOn w:val="730"/>
    <w:next w:val="730"/>
    <w:link w:val="946"/>
    <w:uiPriority w:val="0"/>
    <w:qFormat/>
    <w:pPr>
      <w:numPr>
        <w:ilvl w:val="8"/>
        <w:numId w:val="1"/>
      </w:numPr>
      <w:keepLines/>
      <w:keepNext/>
      <w:spacing w:before="240" w:after="64" w:line="320" w:lineRule="auto"/>
      <w:outlineLvl w:val="8"/>
    </w:pPr>
    <w:rPr>
      <w:rFonts w:ascii="Arial" w:hAnsi="Arial" w:eastAsia="黑体"/>
    </w:rPr>
  </w:style>
  <w:style w:type="character" w:styleId="946" w:customStyle="1">
    <w:name w:val="标题 9 字符"/>
    <w:link w:val="945"/>
    <w:uiPriority w:val="0"/>
    <w:qFormat/>
    <w:rPr>
      <w:rFonts w:ascii="Arial" w:hAnsi="Arial" w:eastAsia="黑体" w:cs="Times New Roman"/>
      <w:szCs w:val="21"/>
    </w:rPr>
  </w:style>
  <w:style w:type="character" w:styleId="947" w:customStyle="1">
    <w:name w:val="默认段落字体1"/>
    <w:uiPriority w:val="1"/>
    <w:unhideWhenUsed/>
    <w:qFormat/>
  </w:style>
  <w:style w:type="table" w:styleId="948" w:customStyle="1">
    <w:name w:val="普通表格1"/>
    <w:uiPriority w:val="99"/>
    <w:unhideWhenUsed/>
    <w:qFormat/>
    <w:tblPr>
      <w:tblCellMar>
        <w:left w:w="0" w:type="dxa"/>
        <w:top w:w="0" w:type="dxa"/>
        <w:right w:w="0" w:type="dxa"/>
        <w:bottom w:w="0" w:type="dxa"/>
      </w:tblCellMar>
    </w:tblPr>
  </w:style>
  <w:style w:type="paragraph" w:styleId="949" w:customStyle="1">
    <w:name w:val="列表 31"/>
    <w:basedOn w:val="730"/>
    <w:uiPriority w:val="0"/>
    <w:qFormat/>
    <w:pPr>
      <w:ind w:left="100" w:hanging="200"/>
    </w:pPr>
  </w:style>
  <w:style w:type="paragraph" w:styleId="950" w:customStyle="1">
    <w:name w:val="目录 71"/>
    <w:basedOn w:val="730"/>
    <w:next w:val="730"/>
    <w:uiPriority w:val="0"/>
    <w:semiHidden/>
    <w:qFormat/>
    <w:pPr>
      <w:ind w:left="1260"/>
      <w:jc w:val="left"/>
    </w:pPr>
  </w:style>
  <w:style w:type="paragraph" w:styleId="951" w:customStyle="1">
    <w:name w:val="文档结构图1"/>
    <w:basedOn w:val="730"/>
    <w:link w:val="952"/>
    <w:uiPriority w:val="0"/>
    <w:semiHidden/>
    <w:qFormat/>
    <w:pPr>
      <w:shd w:val="clear" w:color="auto" w:fill="000080"/>
    </w:pPr>
  </w:style>
  <w:style w:type="character" w:styleId="952" w:customStyle="1">
    <w:name w:val="文档结构图 字符"/>
    <w:link w:val="951"/>
    <w:uiPriority w:val="0"/>
    <w:semiHidden/>
    <w:qFormat/>
    <w:rPr>
      <w:rFonts w:ascii="Times New Roman" w:hAnsi="Times New Roman" w:eastAsia="宋体" w:cs="Times New Roman"/>
      <w:szCs w:val="21"/>
      <w:shd w:val="clear" w:color="auto" w:fill="000080"/>
    </w:rPr>
  </w:style>
  <w:style w:type="paragraph" w:styleId="953" w:customStyle="1">
    <w:name w:val="批注文字1"/>
    <w:basedOn w:val="730"/>
    <w:link w:val="954"/>
    <w:uiPriority w:val="99"/>
    <w:qFormat/>
    <w:pPr>
      <w:jc w:val="left"/>
    </w:pPr>
  </w:style>
  <w:style w:type="character" w:styleId="954" w:customStyle="1">
    <w:name w:val="批注文字 字符"/>
    <w:link w:val="953"/>
    <w:uiPriority w:val="99"/>
    <w:qFormat/>
    <w:rPr>
      <w:rFonts w:ascii="Times New Roman" w:hAnsi="Times New Roman" w:eastAsia="宋体" w:cs="Times New Roman"/>
      <w:szCs w:val="21"/>
    </w:rPr>
  </w:style>
  <w:style w:type="paragraph" w:styleId="955" w:customStyle="1">
    <w:name w:val="正文文本 31"/>
    <w:basedOn w:val="730"/>
    <w:link w:val="956"/>
    <w:uiPriority w:val="0"/>
    <w:qFormat/>
    <w:rPr>
      <w:rFonts w:ascii="仿宋_GB2312" w:hAnsi="Arial" w:eastAsia="仿宋_GB2312"/>
      <w:sz w:val="32"/>
      <w:szCs w:val="32"/>
    </w:rPr>
  </w:style>
  <w:style w:type="character" w:styleId="956" w:customStyle="1">
    <w:name w:val="正文文本 3 字符"/>
    <w:link w:val="955"/>
    <w:uiPriority w:val="0"/>
    <w:qFormat/>
    <w:rPr>
      <w:rFonts w:ascii="仿宋_GB2312" w:hAnsi="Arial" w:eastAsia="仿宋_GB2312" w:cs="Times New Roman"/>
      <w:sz w:val="32"/>
      <w:szCs w:val="32"/>
    </w:rPr>
  </w:style>
  <w:style w:type="paragraph" w:styleId="957" w:customStyle="1">
    <w:name w:val="正文文本1"/>
    <w:basedOn w:val="730"/>
    <w:link w:val="958"/>
    <w:uiPriority w:val="0"/>
    <w:qFormat/>
    <w:rPr>
      <w:rFonts w:ascii="楷体_GB2312" w:hAnsi="Arial" w:eastAsia="楷体_GB2312"/>
      <w:sz w:val="28"/>
      <w:szCs w:val="28"/>
    </w:rPr>
  </w:style>
  <w:style w:type="character" w:styleId="958" w:customStyle="1">
    <w:name w:val="正文文本 字符"/>
    <w:link w:val="957"/>
    <w:uiPriority w:val="0"/>
    <w:qFormat/>
    <w:rPr>
      <w:rFonts w:ascii="楷体_GB2312" w:hAnsi="Arial" w:eastAsia="楷体_GB2312" w:cs="Times New Roman"/>
      <w:sz w:val="28"/>
      <w:szCs w:val="28"/>
    </w:rPr>
  </w:style>
  <w:style w:type="paragraph" w:styleId="959" w:customStyle="1">
    <w:name w:val="正文文本缩进1"/>
    <w:basedOn w:val="730"/>
    <w:link w:val="960"/>
    <w:uiPriority w:val="0"/>
    <w:qFormat/>
    <w:pPr>
      <w:ind w:firstLine="645"/>
    </w:pPr>
    <w:rPr>
      <w:rFonts w:ascii="楷体_GB2312" w:eastAsia="楷体_GB2312"/>
      <w:sz w:val="32"/>
      <w:szCs w:val="32"/>
    </w:rPr>
  </w:style>
  <w:style w:type="character" w:styleId="960" w:customStyle="1">
    <w:name w:val="正文文本缩进 字符"/>
    <w:link w:val="959"/>
    <w:uiPriority w:val="0"/>
    <w:qFormat/>
    <w:rPr>
      <w:rFonts w:ascii="楷体_GB2312" w:hAnsi="Times New Roman" w:eastAsia="楷体_GB2312" w:cs="Times New Roman"/>
      <w:sz w:val="32"/>
      <w:szCs w:val="32"/>
    </w:rPr>
  </w:style>
  <w:style w:type="paragraph" w:styleId="961" w:customStyle="1">
    <w:name w:val="列表 21"/>
    <w:basedOn w:val="730"/>
    <w:uiPriority w:val="0"/>
    <w:qFormat/>
    <w:pPr>
      <w:ind w:left="100" w:hanging="200"/>
    </w:pPr>
  </w:style>
  <w:style w:type="paragraph" w:styleId="962" w:customStyle="1">
    <w:name w:val="目录 51"/>
    <w:basedOn w:val="730"/>
    <w:next w:val="730"/>
    <w:uiPriority w:val="0"/>
    <w:semiHidden/>
    <w:qFormat/>
    <w:pPr>
      <w:ind w:left="840"/>
      <w:jc w:val="left"/>
    </w:pPr>
  </w:style>
  <w:style w:type="paragraph" w:styleId="963" w:customStyle="1">
    <w:name w:val="目录 31"/>
    <w:basedOn w:val="730"/>
    <w:next w:val="730"/>
    <w:uiPriority w:val="0"/>
    <w:semiHidden/>
    <w:qFormat/>
    <w:pPr>
      <w:ind w:left="420"/>
      <w:jc w:val="left"/>
    </w:pPr>
    <w:rPr>
      <w:i/>
      <w:iCs/>
      <w:szCs w:val="24"/>
    </w:rPr>
  </w:style>
  <w:style w:type="paragraph" w:styleId="964" w:customStyle="1">
    <w:name w:val="纯文本1"/>
    <w:basedOn w:val="730"/>
    <w:link w:val="965"/>
    <w:uiPriority w:val="0"/>
    <w:qFormat/>
    <w:rPr>
      <w:rFonts w:ascii="宋体" w:hAnsi="Courier New" w:cs="Courier New"/>
    </w:rPr>
  </w:style>
  <w:style w:type="character" w:styleId="965" w:customStyle="1">
    <w:name w:val="纯文本 字符"/>
    <w:link w:val="964"/>
    <w:uiPriority w:val="0"/>
    <w:qFormat/>
    <w:rPr>
      <w:rFonts w:ascii="宋体" w:hAnsi="Courier New" w:eastAsia="宋体" w:cs="Courier New"/>
      <w:szCs w:val="21"/>
    </w:rPr>
  </w:style>
  <w:style w:type="paragraph" w:styleId="966" w:customStyle="1">
    <w:name w:val="目录 81"/>
    <w:basedOn w:val="730"/>
    <w:next w:val="730"/>
    <w:uiPriority w:val="0"/>
    <w:semiHidden/>
    <w:qFormat/>
    <w:pPr>
      <w:ind w:left="1470"/>
      <w:jc w:val="left"/>
    </w:pPr>
  </w:style>
  <w:style w:type="paragraph" w:styleId="967" w:customStyle="1">
    <w:name w:val="日期1"/>
    <w:basedOn w:val="730"/>
    <w:next w:val="730"/>
    <w:link w:val="968"/>
    <w:uiPriority w:val="0"/>
    <w:qFormat/>
    <w:rPr>
      <w:sz w:val="24"/>
      <w:szCs w:val="24"/>
    </w:rPr>
  </w:style>
  <w:style w:type="character" w:styleId="968" w:customStyle="1">
    <w:name w:val="日期 字符"/>
    <w:link w:val="967"/>
    <w:uiPriority w:val="0"/>
    <w:qFormat/>
    <w:rPr>
      <w:rFonts w:ascii="Times New Roman" w:hAnsi="Times New Roman" w:eastAsia="宋体" w:cs="Times New Roman"/>
      <w:sz w:val="24"/>
      <w:szCs w:val="24"/>
    </w:rPr>
  </w:style>
  <w:style w:type="paragraph" w:styleId="969" w:customStyle="1">
    <w:name w:val="正文文本缩进 21"/>
    <w:basedOn w:val="730"/>
    <w:link w:val="970"/>
    <w:uiPriority w:val="0"/>
    <w:qFormat/>
    <w:pPr>
      <w:ind w:left="630" w:firstLine="645"/>
    </w:pPr>
    <w:rPr>
      <w:rFonts w:ascii="Arial" w:hAnsi="Arial" w:eastAsia="仿宋_GB2312" w:cs="Arial"/>
      <w:sz w:val="32"/>
      <w:szCs w:val="32"/>
    </w:rPr>
  </w:style>
  <w:style w:type="character" w:styleId="970" w:customStyle="1">
    <w:name w:val="正文文本缩进 2 字符"/>
    <w:link w:val="969"/>
    <w:uiPriority w:val="0"/>
    <w:qFormat/>
    <w:rPr>
      <w:rFonts w:ascii="Arial" w:hAnsi="Arial" w:eastAsia="仿宋_GB2312" w:cs="Arial"/>
      <w:sz w:val="32"/>
      <w:szCs w:val="32"/>
    </w:rPr>
  </w:style>
  <w:style w:type="paragraph" w:styleId="971" w:customStyle="1">
    <w:name w:val="批注框文本1"/>
    <w:basedOn w:val="730"/>
    <w:link w:val="972"/>
    <w:uiPriority w:val="0"/>
    <w:semiHidden/>
    <w:qFormat/>
    <w:rPr>
      <w:sz w:val="18"/>
      <w:szCs w:val="18"/>
    </w:rPr>
  </w:style>
  <w:style w:type="character" w:styleId="972" w:customStyle="1">
    <w:name w:val="批注框文本 字符"/>
    <w:link w:val="971"/>
    <w:uiPriority w:val="0"/>
    <w:semiHidden/>
    <w:qFormat/>
    <w:rPr>
      <w:rFonts w:ascii="Times New Roman" w:hAnsi="Times New Roman" w:eastAsia="宋体" w:cs="Times New Roman"/>
      <w:sz w:val="18"/>
      <w:szCs w:val="18"/>
    </w:rPr>
  </w:style>
  <w:style w:type="paragraph" w:styleId="973" w:customStyle="1">
    <w:name w:val="页脚11"/>
    <w:basedOn w:val="730"/>
    <w:link w:val="974"/>
    <w:uiPriority w:val="99"/>
    <w:qFormat/>
    <w:pPr>
      <w:jc w:val="left"/>
      <w:tabs>
        <w:tab w:val="center" w:pos="4153" w:leader="none"/>
        <w:tab w:val="right" w:pos="8306" w:leader="none"/>
      </w:tabs>
    </w:pPr>
    <w:rPr>
      <w:sz w:val="18"/>
      <w:szCs w:val="18"/>
    </w:rPr>
  </w:style>
  <w:style w:type="character" w:styleId="974" w:customStyle="1">
    <w:name w:val="页脚 字符"/>
    <w:link w:val="973"/>
    <w:uiPriority w:val="99"/>
    <w:qFormat/>
    <w:rPr>
      <w:rFonts w:ascii="Times New Roman" w:hAnsi="Times New Roman" w:eastAsia="宋体" w:cs="Times New Roman"/>
      <w:sz w:val="18"/>
      <w:szCs w:val="18"/>
    </w:rPr>
  </w:style>
  <w:style w:type="paragraph" w:styleId="975" w:customStyle="1">
    <w:name w:val="页眉11"/>
    <w:basedOn w:val="730"/>
    <w:link w:val="976"/>
    <w:uiPriority w:val="0"/>
    <w:qFormat/>
    <w:pPr>
      <w:jc w:val="center"/>
      <w:tabs>
        <w:tab w:val="center" w:pos="4153" w:leader="none"/>
        <w:tab w:val="right" w:pos="8306" w:leader="none"/>
      </w:tabs>
      <w:pBdr>
        <w:bottom w:val="single" w:color="000000" w:sz="6" w:space="1"/>
      </w:pBdr>
    </w:pPr>
    <w:rPr>
      <w:sz w:val="18"/>
      <w:szCs w:val="18"/>
    </w:rPr>
  </w:style>
  <w:style w:type="character" w:styleId="976" w:customStyle="1">
    <w:name w:val="页眉 字符"/>
    <w:link w:val="975"/>
    <w:uiPriority w:val="0"/>
    <w:qFormat/>
    <w:rPr>
      <w:rFonts w:ascii="Times New Roman" w:hAnsi="Times New Roman" w:eastAsia="宋体" w:cs="Times New Roman"/>
      <w:sz w:val="18"/>
      <w:szCs w:val="18"/>
    </w:rPr>
  </w:style>
  <w:style w:type="paragraph" w:styleId="977" w:customStyle="1">
    <w:name w:val="目录 11"/>
    <w:basedOn w:val="730"/>
    <w:next w:val="730"/>
    <w:uiPriority w:val="0"/>
    <w:semiHidden/>
    <w:qFormat/>
    <w:pPr>
      <w:jc w:val="left"/>
      <w:spacing w:before="120" w:after="120" w:line="400" w:lineRule="exact"/>
      <w:tabs>
        <w:tab w:val="right" w:pos="8720" w:leader="dot"/>
      </w:tabs>
    </w:pPr>
    <w:rPr>
      <w:rFonts w:ascii="宋体" w:hAnsi="宋体"/>
      <w:caps/>
      <w:sz w:val="24"/>
      <w:szCs w:val="24"/>
    </w:rPr>
  </w:style>
  <w:style w:type="paragraph" w:styleId="978" w:customStyle="1">
    <w:name w:val="目录 41"/>
    <w:basedOn w:val="730"/>
    <w:next w:val="730"/>
    <w:uiPriority w:val="0"/>
    <w:semiHidden/>
    <w:qFormat/>
    <w:pPr>
      <w:ind w:left="630"/>
      <w:jc w:val="left"/>
    </w:pPr>
  </w:style>
  <w:style w:type="paragraph" w:styleId="979" w:customStyle="1">
    <w:name w:val="列表1"/>
    <w:basedOn w:val="730"/>
    <w:uiPriority w:val="0"/>
    <w:qFormat/>
    <w:pPr>
      <w:ind w:left="200" w:hanging="200"/>
    </w:pPr>
  </w:style>
  <w:style w:type="paragraph" w:styleId="980" w:customStyle="1">
    <w:name w:val="目录 61"/>
    <w:basedOn w:val="730"/>
    <w:next w:val="730"/>
    <w:uiPriority w:val="0"/>
    <w:semiHidden/>
    <w:qFormat/>
    <w:pPr>
      <w:ind w:left="1050"/>
      <w:jc w:val="left"/>
    </w:pPr>
  </w:style>
  <w:style w:type="paragraph" w:styleId="981" w:customStyle="1">
    <w:name w:val="正文文本缩进 31"/>
    <w:basedOn w:val="730"/>
    <w:link w:val="982"/>
    <w:uiPriority w:val="0"/>
    <w:qFormat/>
    <w:pPr>
      <w:ind w:left="645" w:firstLine="645"/>
    </w:pPr>
    <w:rPr>
      <w:rFonts w:ascii="Arial" w:hAnsi="Arial" w:eastAsia="仿宋_GB2312" w:cs="Arial"/>
      <w:color w:val="ffff00"/>
      <w:sz w:val="32"/>
      <w:szCs w:val="32"/>
    </w:rPr>
  </w:style>
  <w:style w:type="character" w:styleId="982" w:customStyle="1">
    <w:name w:val="正文文本缩进 3 字符"/>
    <w:link w:val="981"/>
    <w:uiPriority w:val="0"/>
    <w:qFormat/>
    <w:rPr>
      <w:rFonts w:ascii="Arial" w:hAnsi="Arial" w:eastAsia="仿宋_GB2312" w:cs="Arial"/>
      <w:color w:val="ffff00"/>
      <w:sz w:val="32"/>
      <w:szCs w:val="32"/>
    </w:rPr>
  </w:style>
  <w:style w:type="paragraph" w:styleId="983" w:customStyle="1">
    <w:name w:val="图表目录1"/>
    <w:basedOn w:val="730"/>
    <w:next w:val="730"/>
    <w:uiPriority w:val="0"/>
    <w:semiHidden/>
    <w:qFormat/>
    <w:pPr>
      <w:ind w:left="840" w:hanging="420"/>
    </w:pPr>
  </w:style>
  <w:style w:type="paragraph" w:styleId="984" w:customStyle="1">
    <w:name w:val="目录 21"/>
    <w:basedOn w:val="730"/>
    <w:next w:val="730"/>
    <w:uiPriority w:val="0"/>
    <w:semiHidden/>
    <w:qFormat/>
    <w:pPr>
      <w:ind w:left="210"/>
      <w:jc w:val="left"/>
    </w:pPr>
    <w:rPr>
      <w:smallCaps/>
      <w:szCs w:val="24"/>
    </w:rPr>
  </w:style>
  <w:style w:type="paragraph" w:styleId="985" w:customStyle="1">
    <w:name w:val="目录 91"/>
    <w:basedOn w:val="730"/>
    <w:next w:val="730"/>
    <w:uiPriority w:val="0"/>
    <w:semiHidden/>
    <w:qFormat/>
    <w:pPr>
      <w:ind w:left="1680"/>
      <w:jc w:val="left"/>
    </w:pPr>
  </w:style>
  <w:style w:type="paragraph" w:styleId="986" w:customStyle="1">
    <w:name w:val="正文文本 21"/>
    <w:basedOn w:val="730"/>
    <w:link w:val="987"/>
    <w:uiPriority w:val="0"/>
    <w:qFormat/>
    <w:pPr>
      <w:jc w:val="center"/>
      <w:widowControl/>
    </w:pPr>
    <w:rPr>
      <w:rFonts w:ascii="楷体_GB2312" w:eastAsia="楷体_GB2312"/>
      <w:sz w:val="28"/>
      <w:szCs w:val="28"/>
    </w:rPr>
  </w:style>
  <w:style w:type="character" w:styleId="987" w:customStyle="1">
    <w:name w:val="正文文本 2 字符"/>
    <w:link w:val="986"/>
    <w:uiPriority w:val="0"/>
    <w:qFormat/>
    <w:rPr>
      <w:rFonts w:ascii="楷体_GB2312" w:hAnsi="Times New Roman" w:eastAsia="楷体_GB2312" w:cs="Times New Roman"/>
      <w:sz w:val="28"/>
      <w:szCs w:val="28"/>
    </w:rPr>
  </w:style>
  <w:style w:type="paragraph" w:styleId="988" w:customStyle="1">
    <w:name w:val="普通(网站)1"/>
    <w:basedOn w:val="730"/>
    <w:uiPriority w:val="99"/>
    <w:qFormat/>
    <w:pPr>
      <w:jc w:val="left"/>
      <w:spacing w:before="100" w:beforeAutospacing="1" w:after="100" w:afterAutospacing="1"/>
      <w:widowControl/>
    </w:pPr>
    <w:rPr>
      <w:rFonts w:ascii="宋体" w:hAnsi="宋体" w:cs="宋体"/>
      <w:sz w:val="24"/>
      <w:szCs w:val="24"/>
    </w:rPr>
  </w:style>
  <w:style w:type="paragraph" w:styleId="989" w:customStyle="1">
    <w:name w:val="索引 11"/>
    <w:basedOn w:val="730"/>
    <w:next w:val="730"/>
    <w:uiPriority w:val="0"/>
    <w:semiHidden/>
    <w:qFormat/>
    <w:pPr>
      <w:spacing w:line="240" w:lineRule="atLeast"/>
    </w:pPr>
    <w:rPr>
      <w:b/>
      <w:bCs/>
    </w:rPr>
  </w:style>
  <w:style w:type="paragraph" w:styleId="990" w:customStyle="1">
    <w:name w:val="批注主题1"/>
    <w:basedOn w:val="953"/>
    <w:next w:val="953"/>
    <w:link w:val="991"/>
    <w:uiPriority w:val="0"/>
    <w:semiHidden/>
    <w:qFormat/>
    <w:rPr>
      <w:b/>
      <w:bCs/>
    </w:rPr>
  </w:style>
  <w:style w:type="character" w:styleId="991" w:customStyle="1">
    <w:name w:val="批注主题 字符"/>
    <w:link w:val="990"/>
    <w:uiPriority w:val="0"/>
    <w:semiHidden/>
    <w:qFormat/>
    <w:rPr>
      <w:rFonts w:ascii="Times New Roman" w:hAnsi="Times New Roman" w:eastAsia="宋体" w:cs="Times New Roman"/>
      <w:b/>
      <w:bCs/>
      <w:szCs w:val="21"/>
    </w:rPr>
  </w:style>
  <w:style w:type="paragraph" w:styleId="992" w:customStyle="1">
    <w:name w:val="正文首行缩进1"/>
    <w:basedOn w:val="730"/>
    <w:link w:val="993"/>
    <w:uiPriority w:val="0"/>
    <w:qFormat/>
    <w:pPr>
      <w:ind w:firstLine="200"/>
      <w:spacing w:line="360" w:lineRule="auto"/>
    </w:pPr>
    <w:rPr>
      <w:rFonts w:ascii="仿宋_GB2312" w:eastAsia="仿宋_GB2312"/>
      <w:sz w:val="30"/>
      <w:szCs w:val="30"/>
    </w:rPr>
  </w:style>
  <w:style w:type="character" w:styleId="993" w:customStyle="1">
    <w:name w:val="正文文本首行缩进 字符"/>
    <w:link w:val="992"/>
    <w:uiPriority w:val="0"/>
    <w:qFormat/>
    <w:rPr>
      <w:rFonts w:ascii="仿宋_GB2312" w:hAnsi="Times New Roman" w:eastAsia="仿宋_GB2312" w:cs="Times New Roman"/>
      <w:sz w:val="30"/>
      <w:szCs w:val="30"/>
    </w:rPr>
  </w:style>
  <w:style w:type="paragraph" w:styleId="994" w:customStyle="1">
    <w:name w:val="正文首行缩进 21"/>
    <w:basedOn w:val="959"/>
    <w:link w:val="995"/>
    <w:uiPriority w:val="0"/>
    <w:qFormat/>
    <w:pPr>
      <w:ind w:firstLine="420"/>
      <w:spacing w:line="360" w:lineRule="auto"/>
    </w:pPr>
    <w:rPr>
      <w:rFonts w:ascii="宋体" w:hAnsi="宋体" w:eastAsia="宋体"/>
      <w:sz w:val="21"/>
      <w:szCs w:val="20"/>
    </w:rPr>
  </w:style>
  <w:style w:type="character" w:styleId="995" w:customStyle="1">
    <w:name w:val="正文文本首行缩进 2 字符"/>
    <w:link w:val="994"/>
    <w:uiPriority w:val="0"/>
    <w:qFormat/>
    <w:rPr>
      <w:rFonts w:ascii="宋体" w:hAnsi="宋体" w:eastAsia="宋体" w:cs="Times New Roman"/>
      <w:sz w:val="32"/>
      <w:szCs w:val="20"/>
    </w:rPr>
  </w:style>
  <w:style w:type="table" w:styleId="996" w:customStyle="1">
    <w:name w:val="网格型1"/>
    <w:basedOn w:val="948"/>
    <w:uiPriority w:val="0"/>
    <w:qFormat/>
    <w:pPr>
      <w:jc w:val="both"/>
      <w:widowControl w:val="off"/>
    </w:pPr>
    <w:tblPr/>
  </w:style>
  <w:style w:type="character" w:styleId="997" w:customStyle="1">
    <w:name w:val="要点1"/>
    <w:uiPriority w:val="0"/>
    <w:qFormat/>
    <w:rPr>
      <w:b/>
      <w:bCs/>
    </w:rPr>
  </w:style>
  <w:style w:type="character" w:styleId="998" w:customStyle="1">
    <w:name w:val="页码1"/>
    <w:uiPriority w:val="0"/>
    <w:qFormat/>
  </w:style>
  <w:style w:type="character" w:styleId="999" w:customStyle="1">
    <w:name w:val="已访问的超链接1"/>
    <w:uiPriority w:val="0"/>
    <w:qFormat/>
    <w:rPr>
      <w:color w:val="800080"/>
      <w:u w:val="single"/>
    </w:rPr>
  </w:style>
  <w:style w:type="character" w:styleId="1000" w:customStyle="1">
    <w:name w:val="超链接1"/>
    <w:uiPriority w:val="0"/>
    <w:qFormat/>
    <w:rPr>
      <w:color w:val="0000ff"/>
      <w:u w:val="single"/>
    </w:rPr>
  </w:style>
  <w:style w:type="character" w:styleId="1001" w:customStyle="1">
    <w:name w:val="批注引用1"/>
    <w:uiPriority w:val="99"/>
    <w:qFormat/>
    <w:rPr>
      <w:sz w:val="21"/>
      <w:szCs w:val="21"/>
    </w:rPr>
  </w:style>
  <w:style w:type="character" w:styleId="1002" w:customStyle="1">
    <w:name w:val="font5 Char"/>
    <w:uiPriority w:val="0"/>
    <w:qFormat/>
    <w:rPr>
      <w:rFonts w:ascii="宋体" w:hAnsi="宋体" w:eastAsia="宋体"/>
      <w:sz w:val="28"/>
      <w:szCs w:val="28"/>
      <w:lang w:val="en-US" w:eastAsia="zh-CN" w:bidi="ar-SA"/>
    </w:rPr>
  </w:style>
  <w:style w:type="character" w:styleId="1003" w:customStyle="1">
    <w:name w:val="二级目录 Char"/>
    <w:link w:val="1004"/>
    <w:uiPriority w:val="0"/>
    <w:qFormat/>
    <w:rPr>
      <w:b/>
      <w:sz w:val="30"/>
      <w:szCs w:val="28"/>
    </w:rPr>
  </w:style>
  <w:style w:type="paragraph" w:styleId="1004" w:customStyle="1">
    <w:name w:val="二级目录"/>
    <w:next w:val="730"/>
    <w:link w:val="100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5" w:customStyle="1">
    <w:name w:val="列出段落 Char"/>
    <w:link w:val="1006"/>
    <w:uiPriority w:val="0"/>
    <w:qFormat/>
    <w:rPr>
      <w:rFonts w:ascii="Calibri" w:hAnsi="Calibri"/>
      <w:sz w:val="24"/>
      <w:szCs w:val="24"/>
      <w:lang w:eastAsia="en-US" w:bidi="en-US"/>
    </w:rPr>
  </w:style>
  <w:style w:type="paragraph" w:styleId="1006" w:customStyle="1">
    <w:name w:val="列出段落1"/>
    <w:basedOn w:val="730"/>
    <w:link w:val="1005"/>
    <w:uiPriority w:val="0"/>
    <w:qFormat/>
    <w:pPr>
      <w:contextualSpacing/>
      <w:ind w:left="720"/>
      <w:jc w:val="left"/>
      <w:widowControl/>
    </w:pPr>
    <w:rPr>
      <w:rFonts w:ascii="Calibri" w:hAnsi="Calibri"/>
      <w:sz w:val="24"/>
      <w:szCs w:val="24"/>
      <w:lang w:eastAsia="en-US" w:bidi="en-US"/>
    </w:rPr>
  </w:style>
  <w:style w:type="paragraph" w:styleId="1007" w:customStyle="1">
    <w:name w:val="Body Text(ch)"/>
    <w:basedOn w:val="730"/>
    <w:next w:val="957"/>
    <w:uiPriority w:val="0"/>
    <w:qFormat/>
    <w:pPr>
      <w:spacing w:after="120"/>
    </w:pPr>
    <w:rPr>
      <w:rFonts w:ascii="宋体" w:hAnsi="Arial"/>
      <w:bCs/>
      <w:iCs/>
      <w:szCs w:val="24"/>
    </w:rPr>
  </w:style>
  <w:style w:type="paragraph" w:styleId="1008" w:customStyle="1">
    <w:name w:val="xl2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2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customStyle="1">
    <w:name w:val="Char"/>
    <w:basedOn w:val="730"/>
    <w:uiPriority w:val="0"/>
    <w:qFormat/>
    <w:pPr>
      <w:ind w:firstLine="200"/>
      <w:tabs>
        <w:tab w:val="left" w:pos="360" w:leader="none"/>
      </w:tabs>
    </w:pPr>
    <w:rPr>
      <w:sz w:val="28"/>
      <w:szCs w:val="30"/>
    </w:rPr>
  </w:style>
  <w:style w:type="paragraph" w:styleId="1011" w:customStyle="1">
    <w:name w:val="Char1"/>
    <w:basedOn w:val="951"/>
    <w:uiPriority w:val="0"/>
    <w:qFormat/>
    <w:rPr>
      <w:rFonts w:ascii="Tahoma" w:hAnsi="Tahoma"/>
      <w:sz w:val="24"/>
      <w:szCs w:val="24"/>
    </w:rPr>
  </w:style>
  <w:style w:type="paragraph" w:styleId="1012"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1013" w:customStyle="1">
    <w:name w:val="table_lines"/>
    <w:basedOn w:val="730"/>
    <w:uiPriority w:val="0"/>
    <w:qFormat/>
    <w:pPr>
      <w:jc w:val="left"/>
      <w:widowControl/>
    </w:pPr>
    <w:rPr>
      <w:sz w:val="20"/>
      <w:szCs w:val="20"/>
      <w:lang w:val="de-DE" w:eastAsia="de-DE"/>
    </w:rPr>
  </w:style>
  <w:style w:type="paragraph" w:styleId="101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5" w:customStyle="1">
    <w:name w:val="font7"/>
    <w:basedOn w:val="730"/>
    <w:uiPriority w:val="0"/>
    <w:qFormat/>
    <w:pPr>
      <w:jc w:val="left"/>
      <w:spacing w:before="100" w:beforeAutospacing="1" w:after="100" w:afterAutospacing="1"/>
      <w:widowControl/>
    </w:pPr>
    <w:rPr>
      <w:rFonts w:hint="eastAsia" w:ascii="宋体" w:hAnsi="宋体"/>
      <w:sz w:val="18"/>
      <w:szCs w:val="18"/>
    </w:rPr>
  </w:style>
  <w:style w:type="paragraph" w:styleId="1016" w:customStyle="1">
    <w:name w:val="Char Char Char Char"/>
    <w:basedOn w:val="951"/>
    <w:uiPriority w:val="0"/>
    <w:qFormat/>
    <w:pPr>
      <w:spacing w:line="360" w:lineRule="auto"/>
    </w:pPr>
    <w:rPr>
      <w:rFonts w:ascii="Tahoma" w:hAnsi="Tahoma"/>
      <w:sz w:val="24"/>
      <w:szCs w:val="24"/>
    </w:rPr>
  </w:style>
  <w:style w:type="paragraph" w:styleId="1017" w:customStyle="1">
    <w:name w:val="列表段落1"/>
    <w:basedOn w:val="730"/>
    <w:link w:val="1018"/>
    <w:uiPriority w:val="34"/>
    <w:qFormat/>
    <w:pPr>
      <w:contextualSpacing/>
      <w:ind w:left="720"/>
      <w:jc w:val="left"/>
      <w:widowControl/>
    </w:pPr>
    <w:rPr>
      <w:rFonts w:ascii="Calibri" w:hAnsi="Calibri"/>
      <w:sz w:val="24"/>
      <w:szCs w:val="24"/>
      <w:lang w:eastAsia="en-US" w:bidi="en-US"/>
    </w:rPr>
  </w:style>
  <w:style w:type="character" w:styleId="1018" w:customStyle="1">
    <w:name w:val="列表段落 字符"/>
    <w:link w:val="1017"/>
    <w:uiPriority w:val="34"/>
    <w:qFormat/>
    <w:rPr>
      <w:sz w:val="24"/>
      <w:szCs w:val="24"/>
      <w:lang w:eastAsia="en-US" w:bidi="en-US"/>
    </w:rPr>
  </w:style>
  <w:style w:type="paragraph" w:styleId="1019" w:customStyle="1">
    <w:name w:val="4"/>
    <w:basedOn w:val="730"/>
    <w:next w:val="981"/>
    <w:uiPriority w:val="0"/>
    <w:qFormat/>
    <w:pPr>
      <w:ind w:firstLine="420"/>
      <w:spacing w:line="360" w:lineRule="auto"/>
    </w:pPr>
    <w:rPr>
      <w:color w:val="ff0000"/>
      <w:sz w:val="24"/>
      <w:szCs w:val="24"/>
    </w:rPr>
  </w:style>
  <w:style w:type="paragraph" w:styleId="1020" w:customStyle="1">
    <w:name w:val="普通 (Web)"/>
    <w:basedOn w:val="730"/>
    <w:uiPriority w:val="0"/>
    <w:qFormat/>
    <w:pPr>
      <w:jc w:val="left"/>
      <w:spacing w:before="100" w:beforeAutospacing="1" w:after="100" w:afterAutospacing="1"/>
      <w:widowControl/>
    </w:pPr>
    <w:rPr>
      <w:rFonts w:ascii="宋体" w:hAnsi="宋体"/>
      <w:sz w:val="24"/>
      <w:szCs w:val="24"/>
    </w:rPr>
  </w:style>
  <w:style w:type="paragraph" w:styleId="1021" w:customStyle="1">
    <w:name w:val="Char Char Char Char Char Char Char Char Char Char"/>
    <w:basedOn w:val="730"/>
    <w:uiPriority w:val="0"/>
    <w:qFormat/>
    <w:pPr>
      <w:spacing w:line="360" w:lineRule="auto"/>
    </w:pPr>
    <w:rPr>
      <w:sz w:val="24"/>
      <w:szCs w:val="20"/>
    </w:rPr>
  </w:style>
  <w:style w:type="paragraph" w:styleId="1022" w:customStyle="1">
    <w:name w:val="样式1"/>
    <w:basedOn w:val="730"/>
    <w:uiPriority w:val="0"/>
    <w:qFormat/>
    <w:pPr>
      <w:numPr>
        <w:ilvl w:val="0"/>
        <w:numId w:val="3"/>
      </w:numPr>
    </w:pPr>
    <w:rPr>
      <w:rFonts w:ascii="宋体" w:hAnsi="宋体"/>
    </w:rPr>
  </w:style>
  <w:style w:type="paragraph" w:styleId="1023" w:customStyle="1">
    <w:name w:val="font6"/>
    <w:basedOn w:val="730"/>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xl25"/>
    <w:basedOn w:val="7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customStyle="1">
    <w:name w:val="图标"/>
    <w:basedOn w:val="730"/>
    <w:next w:val="73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customStyle="1">
    <w:name w:val="标题3"/>
    <w:basedOn w:val="730"/>
    <w:next w:val="730"/>
    <w:uiPriority w:val="0"/>
    <w:qFormat/>
    <w:pPr>
      <w:ind w:firstLine="624"/>
      <w:spacing w:line="590" w:lineRule="atLeast"/>
    </w:pPr>
    <w:rPr>
      <w:rFonts w:ascii="方正黑体_GBK" w:eastAsia="方正黑体_GBK"/>
      <w:sz w:val="32"/>
      <w:szCs w:val="32"/>
    </w:rPr>
  </w:style>
  <w:style w:type="paragraph" w:styleId="1027" w:customStyle="1">
    <w:name w:val="xl24"/>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9"/>
    <w:basedOn w:val="73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customStyle="1">
    <w:name w:val="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030"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1" w:customStyle="1">
    <w:name w:val="Char Char Char Char Char Char Char Char1"/>
    <w:basedOn w:val="730"/>
    <w:uiPriority w:val="0"/>
    <w:qFormat/>
    <w:pPr>
      <w:jc w:val="left"/>
      <w:spacing w:after="160" w:line="240" w:lineRule="exact"/>
      <w:widowControl/>
    </w:pPr>
    <w:rPr>
      <w:rFonts w:ascii="Verdana" w:hAnsi="Verdana"/>
      <w:sz w:val="20"/>
      <w:szCs w:val="20"/>
      <w:lang w:eastAsia="en-US"/>
    </w:rPr>
  </w:style>
  <w:style w:type="paragraph" w:styleId="1032" w:customStyle="1">
    <w:name w:val="xl30"/>
    <w:basedOn w:val="730"/>
    <w:uiPriority w:val="0"/>
    <w:qFormat/>
    <w:pPr>
      <w:jc w:val="center"/>
      <w:spacing w:before="100" w:beforeAutospacing="1" w:after="100" w:afterAutospacing="1"/>
      <w:widowControl/>
    </w:pPr>
    <w:rPr>
      <w:rFonts w:ascii="宋体" w:hAnsi="宋体"/>
      <w:b/>
      <w:bCs/>
      <w:sz w:val="36"/>
      <w:szCs w:val="36"/>
    </w:rPr>
  </w:style>
  <w:style w:type="paragraph" w:styleId="1033" w:customStyle="1">
    <w:name w:val="Char Char Char Char1"/>
    <w:basedOn w:val="951"/>
    <w:uiPriority w:val="0"/>
    <w:qFormat/>
    <w:pPr>
      <w:spacing w:line="360" w:lineRule="auto"/>
    </w:pPr>
    <w:rPr>
      <w:rFonts w:ascii="Tahoma" w:hAnsi="Tahoma"/>
      <w:sz w:val="24"/>
      <w:szCs w:val="24"/>
    </w:rPr>
  </w:style>
  <w:style w:type="paragraph" w:styleId="1034" w:customStyle="1">
    <w:name w:val="table_1stline"/>
    <w:basedOn w:val="730"/>
    <w:uiPriority w:val="0"/>
    <w:qFormat/>
    <w:pPr>
      <w:jc w:val="left"/>
      <w:spacing w:before="120"/>
      <w:widowControl/>
    </w:pPr>
    <w:rPr>
      <w:bCs/>
      <w:sz w:val="20"/>
      <w:szCs w:val="20"/>
      <w:lang w:val="de-DE" w:eastAsia="de-DE"/>
    </w:rPr>
  </w:style>
  <w:style w:type="paragraph" w:styleId="1035" w:customStyle="1">
    <w:name w:val="font5"/>
    <w:basedOn w:val="730"/>
    <w:uiPriority w:val="0"/>
    <w:qFormat/>
    <w:pPr>
      <w:jc w:val="left"/>
      <w:spacing w:before="100" w:beforeAutospacing="1" w:after="100" w:afterAutospacing="1"/>
      <w:widowControl/>
    </w:pPr>
    <w:rPr>
      <w:rFonts w:hint="eastAsia" w:ascii="宋体" w:hAnsi="宋体"/>
      <w:sz w:val="28"/>
      <w:szCs w:val="28"/>
    </w:rPr>
  </w:style>
  <w:style w:type="paragraph" w:styleId="1036" w:customStyle="1">
    <w:name w:val="标题1"/>
    <w:basedOn w:val="730"/>
    <w:next w:val="7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customStyle="1">
    <w:name w:val="_Style 300"/>
    <w:uiPriority w:val="99"/>
    <w:semiHidden/>
    <w:qFormat/>
    <w:rPr>
      <w:rFonts w:ascii="Times New Roman" w:hAnsi="Times New Roman" w:eastAsia="宋体" w:cs="Times New Roman"/>
      <w:sz w:val="21"/>
      <w:szCs w:val="21"/>
      <w:lang w:val="en-US" w:eastAsia="zh-CN" w:bidi="ar-SA"/>
    </w:rPr>
  </w:style>
  <w:style w:type="paragraph" w:styleId="103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3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40" w:customStyle="1">
    <w:name w:val="标题 112"/>
    <w:basedOn w:val="730"/>
    <w:next w:val="730"/>
    <w:uiPriority w:val="0"/>
    <w:qFormat/>
    <w:pPr>
      <w:jc w:val="left"/>
      <w:keepNext/>
      <w:outlineLvl w:val="0"/>
    </w:pPr>
    <w:rPr>
      <w:rFonts w:ascii="楷体_GB2312" w:hAnsi="楷体_GB2312"/>
      <w:b/>
      <w:sz w:val="32"/>
      <w:szCs w:val="28"/>
    </w:rPr>
  </w:style>
  <w:style w:type="paragraph" w:styleId="1041" w:customStyle="1">
    <w:name w:val="WPSOffice手动目录 1"/>
    <w:uiPriority w:val="0"/>
    <w:qFormat/>
    <w:rPr>
      <w:rFonts w:ascii="Times New Roman" w:hAnsi="Times New Roman" w:eastAsia="宋体" w:cs="Times New Roman"/>
      <w:lang w:val="en-US" w:eastAsia="zh-CN" w:bidi="ar-SA"/>
    </w:rPr>
  </w:style>
  <w:style w:type="character" w:styleId="1042" w:customStyle="1">
    <w:name w:val="正文文本缩进 字符1"/>
    <w:uiPriority w:val="99"/>
    <w:semiHidden/>
    <w:qFormat/>
    <w:rPr>
      <w:sz w:val="21"/>
      <w:szCs w:val="21"/>
    </w:rPr>
  </w:style>
  <w:style w:type="character" w:styleId="1043" w:customStyle="1">
    <w:name w:val="font41"/>
    <w:basedOn w:val="734"/>
    <w:uiPriority w:val="0"/>
    <w:qFormat/>
    <w:rPr>
      <w:rFonts w:hint="eastAsia" w:ascii="微软雅黑" w:hAnsi="微软雅黑" w:eastAsia="微软雅黑" w:cs="微软雅黑"/>
      <w:color w:val="000000"/>
      <w:sz w:val="18"/>
      <w:szCs w:val="18"/>
      <w:u w:val="none"/>
    </w:rPr>
  </w:style>
  <w:style w:type="character" w:styleId="1044" w:customStyle="1">
    <w:name w:val="font51"/>
    <w:basedOn w:val="734"/>
    <w:uiPriority w:val="0"/>
    <w:qFormat/>
    <w:rPr>
      <w:rFonts w:hint="eastAsia" w:ascii="微软雅黑" w:hAnsi="微软雅黑" w:eastAsia="微软雅黑" w:cs="微软雅黑"/>
      <w:color w:val="ff0000"/>
      <w:sz w:val="18"/>
      <w:szCs w:val="18"/>
      <w:u w:val="none"/>
    </w:rPr>
  </w:style>
  <w:style w:type="paragraph" w:styleId="1045" w:customStyle="1">
    <w:name w:val="成文日期"/>
    <w:basedOn w:val="730"/>
    <w:uiPriority w:val="0"/>
    <w:qFormat/>
    <w:pPr>
      <w:ind w:right="400" w:firstLine="200"/>
      <w:jc w:val="right"/>
      <w:spacing w:line="570" w:lineRule="exact"/>
    </w:pPr>
    <w:rPr>
      <w:rFonts w:ascii="仿宋_GB2312" w:eastAsia="仿宋_GB2312"/>
      <w:sz w:val="32"/>
      <w:szCs w:val="20"/>
    </w:rPr>
  </w:style>
  <w:style w:type="character" w:styleId="1046" w:customStyle="1">
    <w:name w:val="apple-style-span"/>
    <w:uiPriority w:val="0"/>
    <w:qFormat/>
    <w:rPr>
      <w:rFonts w:cs="Times New Roman"/>
    </w:rPr>
  </w:style>
  <w:style w:type="character" w:styleId="1047" w:customStyle="1">
    <w:name w:val="font11"/>
    <w:basedOn w:val="734"/>
    <w:uiPriority w:val="0"/>
    <w:qFormat/>
    <w:rPr>
      <w:rFonts w:hint="eastAsia" w:ascii="宋体" w:hAnsi="宋体" w:eastAsia="宋体" w:cs="宋体"/>
      <w:color w:val="000000"/>
      <w:sz w:val="20"/>
      <w:szCs w:val="20"/>
      <w:u w:val="none"/>
    </w:rPr>
  </w:style>
  <w:style w:type="character" w:styleId="1048" w:customStyle="1">
    <w:name w:val="font21"/>
    <w:basedOn w:val="734"/>
    <w:uiPriority w:val="0"/>
    <w:qFormat/>
    <w:rPr>
      <w:rFonts w:hint="eastAsia" w:ascii="宋体" w:hAnsi="宋体" w:eastAsia="宋体" w:cs="宋体"/>
      <w:color w:val="000000"/>
      <w:sz w:val="20"/>
      <w:szCs w:val="20"/>
      <w:u w:val="none"/>
    </w:rPr>
  </w:style>
  <w:style w:type="paragraph" w:styleId="1049" w:customStyle="1">
    <w:name w:val="题注11"/>
    <w:next w:val="730"/>
    <w:uiPriority w:val="35"/>
    <w:unhideWhenUsed/>
    <w:qFormat/>
    <w:pPr>
      <w:jc w:val="center"/>
      <w:spacing w:before="240" w:after="120" w:line="288" w:lineRule="auto"/>
      <w:widowControl w:val="off"/>
    </w:pPr>
    <w:rPr>
      <w:rFonts w:ascii="Times New Roman" w:hAnsi="Times New Roman" w:eastAsia="宋体" w:cs="宋体"/>
      <w:sz w:val="24"/>
      <w:szCs w:val="22"/>
      <w:lang w:val="en-US" w:eastAsia="zh-CN" w:bidi="ar-SA"/>
    </w:rPr>
  </w:style>
  <w:style w:type="character" w:styleId="1050" w:customStyle="1">
    <w:name w:val="批注框文本 字符1"/>
    <w:basedOn w:val="734"/>
    <w:link w:val="745"/>
    <w:uiPriority w:val="99"/>
    <w:semiHidden/>
    <w:qFormat/>
    <w:rPr>
      <w:sz w:val="18"/>
      <w:szCs w:val="18"/>
    </w:rPr>
  </w:style>
  <w:style w:type="numbering" w:styleId="23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彭文华</cp:lastModifiedBy>
  <cp:revision>9</cp:revision>
  <dcterms:created xsi:type="dcterms:W3CDTF">2026-05-11T04:44:00Z</dcterms:created>
  <dcterms:modified xsi:type="dcterms:W3CDTF">2026-07-02T02:31:25Z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D41024FB7293469D894500195A649088_13</vt:lpwstr>
  </property>
  <property fmtid="{D5CDD505-2E9C-101B-9397-08002B2CF9AE}" pid="4" name="KSOTemplateDocerSaveRecord">
    <vt:lpwstr>eyJoZGlkIjoiZGJmNGVmOTkyYmRlYWVmNjNhMWY0NGViOTkzY2NlZDYiLCJ1c2VySWQiOiIxNjcxOTk3NTUzIn0=</vt:lpwstr>
  </property>
</Properties>
</file>